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42B386A2" w14:textId="287E7271" w:rsidR="005E2204" w:rsidRDefault="005E2204" w:rsidP="005E2204">
      <w:pPr>
        <w:pStyle w:val="Titre2"/>
        <w:spacing w:before="0" w:after="0"/>
        <w:jc w:val="center"/>
      </w:pPr>
      <w:r>
        <w:t>CONTRAT A DUREE INDETERMINEE</w:t>
      </w:r>
      <w:r w:rsidR="00D960D2">
        <w:t> </w:t>
      </w:r>
      <w:r w:rsidR="00FC4081">
        <w:t>E</w:t>
      </w:r>
      <w:r>
        <w:t>TABLI EN APPLICATION DES DISPOSITIONS DE L’</w:t>
      </w:r>
      <w:r w:rsidR="00D5273E">
        <w:t>ARTICLE L.332-12</w:t>
      </w:r>
      <w:r>
        <w:t xml:space="preserve"> DU CGFP</w:t>
      </w:r>
    </w:p>
    <w:p w14:paraId="0DCD2CE6" w14:textId="2288DA9C" w:rsidR="00BC068D" w:rsidRPr="005E2204" w:rsidRDefault="005E2204" w:rsidP="00D5273E">
      <w:pPr>
        <w:pStyle w:val="Titre2"/>
        <w:spacing w:before="0" w:after="0"/>
        <w:jc w:val="center"/>
        <w:rPr>
          <w:sz w:val="20"/>
          <w:szCs w:val="20"/>
        </w:rPr>
      </w:pPr>
      <w:r w:rsidRPr="005E2204">
        <w:rPr>
          <w:sz w:val="20"/>
          <w:szCs w:val="20"/>
        </w:rPr>
        <w:t>(</w:t>
      </w:r>
      <w:r w:rsidR="00D5273E">
        <w:rPr>
          <w:sz w:val="20"/>
          <w:szCs w:val="20"/>
        </w:rPr>
        <w:t>Portabilité de CDI établi sur le fondement de l’article L.332-8 du CGFP au sein d’une nouvelle collectivité territoriale ou en intra-versant)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1B4F86F3" w14:textId="0B85F5B9" w:rsidR="005E2204" w:rsidRDefault="007E4A50" w:rsidP="007E4A50">
      <w:pPr>
        <w:tabs>
          <w:tab w:val="left" w:pos="284"/>
          <w:tab w:val="left" w:pos="2552"/>
        </w:tabs>
        <w:rPr>
          <w:rStyle w:val="Rfrenceple"/>
        </w:rPr>
      </w:pPr>
      <w:r w:rsidRPr="007E4A50">
        <w:rPr>
          <w:rStyle w:val="Rfrenceple"/>
        </w:rPr>
        <w:t xml:space="preserve">Pour rappel : </w:t>
      </w:r>
      <w:r w:rsidR="00D5273E">
        <w:rPr>
          <w:rStyle w:val="Rfrenceple"/>
        </w:rPr>
        <w:t xml:space="preserve">L’autorité territoriale peut recruter en contrat à durée indéterminée (CDI) un agent contractuel bénéficiant déjà dans une autre collectivité d’un CDI sous réserve de remplir les conditions suivantes : </w:t>
      </w:r>
    </w:p>
    <w:p w14:paraId="2D307A92" w14:textId="7C64457D" w:rsidR="00D5273E" w:rsidRDefault="00D5273E" w:rsidP="00D5273E">
      <w:pPr>
        <w:pStyle w:val="Paragraphedeliste"/>
        <w:numPr>
          <w:ilvl w:val="0"/>
          <w:numId w:val="14"/>
        </w:numPr>
        <w:tabs>
          <w:tab w:val="left" w:pos="284"/>
          <w:tab w:val="left" w:pos="2552"/>
        </w:tabs>
        <w:rPr>
          <w:rStyle w:val="Rfrenceple"/>
        </w:rPr>
      </w:pPr>
      <w:r>
        <w:rPr>
          <w:rStyle w:val="Rfrenceple"/>
        </w:rPr>
        <w:t xml:space="preserve">Le recrutement doit intervenir sur le fondement de l’article L.332-8 du CGFP, </w:t>
      </w:r>
    </w:p>
    <w:p w14:paraId="2DCAD9BA" w14:textId="32CEE69F" w:rsidR="00D5273E" w:rsidRPr="005E2204" w:rsidRDefault="00D5273E" w:rsidP="00D5273E">
      <w:pPr>
        <w:pStyle w:val="Paragraphedeliste"/>
        <w:numPr>
          <w:ilvl w:val="0"/>
          <w:numId w:val="14"/>
        </w:numPr>
        <w:tabs>
          <w:tab w:val="left" w:pos="284"/>
          <w:tab w:val="left" w:pos="2552"/>
        </w:tabs>
        <w:rPr>
          <w:rStyle w:val="Rfrenceple"/>
        </w:rPr>
      </w:pPr>
      <w:r>
        <w:rPr>
          <w:rStyle w:val="Rfrenceple"/>
        </w:rPr>
        <w:t>L’agent contractuel devra exercer dans la nouvelle collectivité des fonctions relevant de la même catégorie hiérarchique (A,B ou C) que celles occupées dans la précédente collectivité</w:t>
      </w:r>
    </w:p>
    <w:p w14:paraId="40EACB8E" w14:textId="394C398B" w:rsidR="007E4A50" w:rsidRDefault="007E4A50" w:rsidP="007E4A50">
      <w:pPr>
        <w:tabs>
          <w:tab w:val="left" w:pos="284"/>
          <w:tab w:val="left" w:pos="2552"/>
        </w:tabs>
        <w:rPr>
          <w:rStyle w:val="Rfrenceple"/>
        </w:rPr>
      </w:pPr>
      <w:r w:rsidRPr="007E4A50">
        <w:rPr>
          <w:rStyle w:val="Rfrenceple"/>
        </w:rPr>
        <w:t>Tout recrutement d’un agent contractuel pour pourvoir un emploi permanent dont l'avis de création ou de vacances est publié à compter du 1er janvier 2020 est so</w:t>
      </w:r>
      <w:r w:rsidR="00CE2E9B">
        <w:rPr>
          <w:rStyle w:val="Rfrenceple"/>
        </w:rPr>
        <w:t xml:space="preserve">umis aux nouvelles dispositions </w:t>
      </w:r>
      <w:r w:rsidRPr="007E4A50">
        <w:rPr>
          <w:rStyle w:val="Rfrenceple"/>
        </w:rPr>
        <w:t>des articles R.332-1 et suivants du code général de la fonction publique et donc au respect d’une procédure de recrutement spécifique afin de garantir l'égal accès aux emplois publics.</w:t>
      </w:r>
      <w:bookmarkStart w:id="0" w:name="_GoBack"/>
      <w:bookmarkEnd w:id="0"/>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3C8D4C0F" w14:textId="1AF336F2" w:rsidR="005E2204" w:rsidRPr="00E94CAB" w:rsidRDefault="005E2204" w:rsidP="005E2204">
      <w:pPr>
        <w:rPr>
          <w:lang w:eastAsia="en-US"/>
        </w:rPr>
      </w:pPr>
      <w:bookmarkStart w:id="1" w:name="_Hlk100840353"/>
      <w:r w:rsidRPr="00E94CAB">
        <w:rPr>
          <w:lang w:eastAsia="en-US"/>
        </w:rPr>
        <w:t xml:space="preserve">Vu le code général de la </w:t>
      </w:r>
      <w:r w:rsidR="003A485C">
        <w:rPr>
          <w:lang w:eastAsia="en-US"/>
        </w:rPr>
        <w:t>fonction publique, notamment ses</w:t>
      </w:r>
      <w:r w:rsidRPr="00E94CAB">
        <w:rPr>
          <w:lang w:eastAsia="en-US"/>
        </w:rPr>
        <w:t xml:space="preserve"> article</w:t>
      </w:r>
      <w:r w:rsidR="00BE3EEE">
        <w:rPr>
          <w:lang w:eastAsia="en-US"/>
        </w:rPr>
        <w:t>s L.332-9 à L.332-12</w:t>
      </w:r>
      <w:r w:rsidR="003A485C">
        <w:rPr>
          <w:lang w:eastAsia="en-US"/>
        </w:rPr>
        <w:t xml:space="preserve">, </w:t>
      </w:r>
    </w:p>
    <w:p w14:paraId="5DCA877B" w14:textId="77777777" w:rsidR="005E2204" w:rsidRPr="00B5055F" w:rsidRDefault="005E2204" w:rsidP="005E2204">
      <w:pPr>
        <w:rPr>
          <w:rFonts w:cstheme="minorHAnsi"/>
          <w:bCs/>
        </w:rPr>
      </w:pPr>
      <w:r w:rsidRPr="001C2A35">
        <w:rPr>
          <w:rFonts w:cstheme="minorHAnsi"/>
          <w:bCs/>
        </w:rPr>
        <w:t xml:space="preserve">Vu le décret n° 88-145 du 15 février 1988 </w:t>
      </w:r>
      <w:r>
        <w:rPr>
          <w:rFonts w:cstheme="minorHAnsi"/>
          <w:bCs/>
        </w:rPr>
        <w:t xml:space="preserve">modifié </w:t>
      </w:r>
      <w:r w:rsidRPr="001C2A35">
        <w:rPr>
          <w:rFonts w:cstheme="minorHAnsi"/>
          <w:bCs/>
        </w:rPr>
        <w:t>relatif aux agents contractuels de la fonction publique territo</w:t>
      </w:r>
      <w:r w:rsidRPr="00925E8F">
        <w:rPr>
          <w:rFonts w:cstheme="minorHAnsi"/>
          <w:bCs/>
        </w:rPr>
        <w:t>riale</w:t>
      </w:r>
      <w:r w:rsidRPr="00925E8F">
        <w:rPr>
          <w:rFonts w:ascii="Calibri" w:hAnsi="Calibri"/>
          <w:bCs/>
        </w:rPr>
        <w:t> </w:t>
      </w:r>
      <w:r w:rsidRPr="00925E8F">
        <w:rPr>
          <w:bCs/>
        </w:rPr>
        <w:t xml:space="preserve">pris pour l’application de l’article 136 de la loi du 26 janvier 1984 modifiée portant dispositions statutaires relatives à la fonction publique territoriale et relatif aux agents contractuels de la fonction publique territoriale </w:t>
      </w:r>
      <w:r w:rsidRPr="00925E8F">
        <w:rPr>
          <w:rFonts w:cstheme="minorHAnsi"/>
          <w:bCs/>
        </w:rPr>
        <w:t xml:space="preserve">; </w:t>
      </w:r>
    </w:p>
    <w:p w14:paraId="011B9C78" w14:textId="77A73C7A" w:rsidR="005E2204" w:rsidRPr="001C2A35" w:rsidRDefault="005E2204" w:rsidP="005E2204">
      <w:pPr>
        <w:rPr>
          <w:rFonts w:cstheme="minorHAnsi"/>
        </w:rPr>
      </w:pPr>
      <w:r w:rsidRPr="001C2A35">
        <w:rPr>
          <w:rFonts w:cstheme="minorHAnsi"/>
        </w:rPr>
        <w:t>Vu la</w:t>
      </w:r>
      <w:r w:rsidR="003A485C">
        <w:rPr>
          <w:rFonts w:cstheme="minorHAnsi"/>
        </w:rPr>
        <w:t xml:space="preserve"> délibération en date du préciser la </w:t>
      </w:r>
      <w:r w:rsidR="003A485C" w:rsidRPr="003A485C">
        <w:rPr>
          <w:rStyle w:val="Sous-titreCar"/>
        </w:rPr>
        <w:t>date de la délibération</w:t>
      </w:r>
      <w:r w:rsidRPr="001C2A35">
        <w:rPr>
          <w:rFonts w:cstheme="minorHAnsi"/>
        </w:rPr>
        <w:t xml:space="preserve"> créant l’em</w:t>
      </w:r>
      <w:r w:rsidR="003A485C">
        <w:rPr>
          <w:rFonts w:cstheme="minorHAnsi"/>
        </w:rPr>
        <w:t xml:space="preserve">ploi permanent de </w:t>
      </w:r>
      <w:r w:rsidR="003A485C" w:rsidRPr="003A485C">
        <w:rPr>
          <w:rStyle w:val="Sous-titreCar"/>
        </w:rPr>
        <w:t>préciser le poste</w:t>
      </w:r>
      <w:r w:rsidR="003A485C">
        <w:rPr>
          <w:rFonts w:cstheme="minorHAnsi"/>
        </w:rPr>
        <w:t xml:space="preserve"> exerçant les fonctions de </w:t>
      </w:r>
      <w:r w:rsidR="003A485C" w:rsidRPr="003A485C">
        <w:rPr>
          <w:rStyle w:val="Sous-titreCar"/>
        </w:rPr>
        <w:t>détailler les fonctions occupées</w:t>
      </w:r>
      <w:r w:rsidR="003A485C">
        <w:rPr>
          <w:rStyle w:val="Sous-titreCar"/>
        </w:rPr>
        <w:t xml:space="preserve">, </w:t>
      </w:r>
    </w:p>
    <w:p w14:paraId="48598279" w14:textId="77777777" w:rsidR="00BE3EEE" w:rsidRPr="00BE3EEE" w:rsidRDefault="00BE3EEE" w:rsidP="00BE3EEE">
      <w:pPr>
        <w:rPr>
          <w:b/>
        </w:rPr>
      </w:pPr>
      <w:r w:rsidRPr="00BE3EEE">
        <w:rPr>
          <w:b/>
        </w:rPr>
        <w:lastRenderedPageBreak/>
        <w:t>Selon les cas</w:t>
      </w:r>
      <w:r w:rsidRPr="00BE3EEE">
        <w:rPr>
          <w:rFonts w:ascii="Calibri" w:hAnsi="Calibri" w:cs="Calibri"/>
          <w:b/>
        </w:rPr>
        <w:t> </w:t>
      </w:r>
      <w:r w:rsidRPr="00BE3EEE">
        <w:rPr>
          <w:b/>
        </w:rPr>
        <w:t>:</w:t>
      </w:r>
    </w:p>
    <w:p w14:paraId="2CEF264A" w14:textId="4B9F5597" w:rsidR="00BE3EEE" w:rsidRPr="00BE3EEE" w:rsidRDefault="00BE3EEE" w:rsidP="00BE3EEE">
      <w:pPr>
        <w:rPr>
          <w:i/>
        </w:rPr>
      </w:pPr>
      <w:r w:rsidRPr="00BE3EEE">
        <w:rPr>
          <w:i/>
        </w:rPr>
        <w:t xml:space="preserve">(Si recrutement </w:t>
      </w:r>
      <w:r>
        <w:rPr>
          <w:i/>
        </w:rPr>
        <w:t>sur le fondement de l’</w:t>
      </w:r>
      <w:r w:rsidRPr="00BE3EEE">
        <w:rPr>
          <w:i/>
        </w:rPr>
        <w:t xml:space="preserve">article L.332-8 1° - absence de cadre d’emplois) </w:t>
      </w:r>
    </w:p>
    <w:p w14:paraId="6D9C9F8D" w14:textId="77777777" w:rsidR="00BE3EEE" w:rsidRPr="00767477" w:rsidRDefault="00BE3EEE" w:rsidP="00BE3EEE">
      <w:pPr>
        <w:rPr>
          <w:rFonts w:cs="Calibri"/>
          <w:lang w:eastAsia="en-US"/>
        </w:rPr>
      </w:pPr>
      <w:r w:rsidRPr="00767477">
        <w:rPr>
          <w:rFonts w:cs="Calibri"/>
          <w:lang w:eastAsia="en-US"/>
        </w:rPr>
        <w:t xml:space="preserve">Vu la délibération en date du </w:t>
      </w:r>
      <w:r w:rsidRPr="00BE3EEE">
        <w:rPr>
          <w:rStyle w:val="Sous-titreCar"/>
        </w:rPr>
        <w:t>[date]</w:t>
      </w:r>
      <w:r w:rsidRPr="00767477">
        <w:rPr>
          <w:rFonts w:cs="Calibri"/>
          <w:lang w:eastAsia="en-US"/>
        </w:rPr>
        <w:t xml:space="preserve"> créant l’emploi permanent de </w:t>
      </w:r>
      <w:r w:rsidRPr="00BE3EEE">
        <w:rPr>
          <w:rStyle w:val="Sous-titreCar"/>
        </w:rPr>
        <w:t>[emploi]</w:t>
      </w:r>
      <w:r w:rsidRPr="00767477">
        <w:rPr>
          <w:rFonts w:cs="Calibri"/>
          <w:lang w:eastAsia="en-US"/>
        </w:rPr>
        <w:t xml:space="preserve"> relevant de la catégorie hiérarchique</w:t>
      </w:r>
      <w:r w:rsidRPr="00BE3EEE">
        <w:rPr>
          <w:rStyle w:val="Sous-titreCar"/>
        </w:rPr>
        <w:t xml:space="preserve"> [A, B ou C] </w:t>
      </w:r>
      <w:r w:rsidRPr="00767477">
        <w:rPr>
          <w:rFonts w:cs="Calibri"/>
          <w:lang w:eastAsia="en-US"/>
        </w:rPr>
        <w:t xml:space="preserve">comprenant les fonctions suivantes </w:t>
      </w:r>
      <w:r w:rsidRPr="00BE3EEE">
        <w:rPr>
          <w:rStyle w:val="Sous-titreCar"/>
        </w:rPr>
        <w:t xml:space="preserve">[fonctions] </w:t>
      </w:r>
      <w:r w:rsidRPr="00767477">
        <w:rPr>
          <w:rFonts w:cs="Calibri"/>
          <w:lang w:eastAsia="en-US"/>
        </w:rPr>
        <w:t>et fixant le niveau de rémunération ainsi que la quotité horaire de travail à hauteur de</w:t>
      </w:r>
      <w:r w:rsidRPr="00BE3EEE">
        <w:rPr>
          <w:rStyle w:val="Sous-titreCar"/>
        </w:rPr>
        <w:t xml:space="preserve"> [heures]/35h00,</w:t>
      </w:r>
      <w:r w:rsidRPr="00767477">
        <w:rPr>
          <w:rFonts w:cs="Calibri"/>
          <w:lang w:eastAsia="en-US"/>
        </w:rPr>
        <w:t xml:space="preserve"> </w:t>
      </w:r>
    </w:p>
    <w:p w14:paraId="2CA1C6AE" w14:textId="77777777" w:rsidR="00BE3EEE" w:rsidRPr="00767477" w:rsidRDefault="00BE3EEE" w:rsidP="00BE3EEE">
      <w:r w:rsidRPr="00767477">
        <w:t>Considérant qu’il n’existe pas de cadre d’emplois de fonctionnaires susceptibles d’assurer les fonctions correspondantes,</w:t>
      </w:r>
    </w:p>
    <w:p w14:paraId="554FCEC3" w14:textId="3CF81D3F" w:rsidR="00BE3EEE" w:rsidRPr="00BE3EEE" w:rsidRDefault="00BE3EEE" w:rsidP="00BE3EEE">
      <w:pPr>
        <w:rPr>
          <w:b/>
          <w:i/>
        </w:rPr>
      </w:pPr>
      <w:r w:rsidRPr="00BE3EEE">
        <w:rPr>
          <w:b/>
          <w:i/>
        </w:rPr>
        <w:t>OU</w:t>
      </w:r>
    </w:p>
    <w:p w14:paraId="71BBE89A" w14:textId="748CBDFD" w:rsidR="00BE3EEE" w:rsidRPr="00BE3EEE" w:rsidRDefault="00BE3EEE" w:rsidP="00BE3EEE">
      <w:pPr>
        <w:rPr>
          <w:i/>
        </w:rPr>
      </w:pPr>
      <w:r w:rsidRPr="00BE3EEE">
        <w:rPr>
          <w:i/>
        </w:rPr>
        <w:t>(Si recrutement</w:t>
      </w:r>
      <w:r>
        <w:rPr>
          <w:i/>
        </w:rPr>
        <w:t xml:space="preserve"> sur le fondement de l’</w:t>
      </w:r>
      <w:r w:rsidRPr="00BE3EEE">
        <w:rPr>
          <w:i/>
        </w:rPr>
        <w:t>article L.332-8 2° - si les besoins des services ou la nature des fonctions le justifient)</w:t>
      </w:r>
    </w:p>
    <w:p w14:paraId="50D74D03" w14:textId="77777777" w:rsidR="00BE3EEE" w:rsidRPr="00767477" w:rsidRDefault="00BE3EEE" w:rsidP="00BE3EEE">
      <w:pPr>
        <w:rPr>
          <w:rFonts w:cs="Calibri"/>
          <w:lang w:eastAsia="en-US"/>
        </w:rPr>
      </w:pPr>
      <w:r w:rsidRPr="00767477">
        <w:rPr>
          <w:rFonts w:cs="Calibri"/>
          <w:lang w:eastAsia="en-US"/>
        </w:rPr>
        <w:t xml:space="preserve">Vu la délibération en date du </w:t>
      </w:r>
      <w:r w:rsidRPr="00BE3EEE">
        <w:rPr>
          <w:rStyle w:val="Sous-titreCar"/>
        </w:rPr>
        <w:t>[date]</w:t>
      </w:r>
      <w:r w:rsidRPr="00767477">
        <w:rPr>
          <w:rFonts w:cs="Calibri"/>
          <w:lang w:eastAsia="en-US"/>
        </w:rPr>
        <w:t xml:space="preserve"> créant l’emploi permanent de </w:t>
      </w:r>
      <w:r w:rsidRPr="00BE3EEE">
        <w:rPr>
          <w:rStyle w:val="Sous-titreCar"/>
        </w:rPr>
        <w:t>[emploi]</w:t>
      </w:r>
      <w:r w:rsidRPr="00767477">
        <w:rPr>
          <w:rFonts w:cs="Calibri"/>
          <w:lang w:eastAsia="en-US"/>
        </w:rPr>
        <w:t xml:space="preserve"> relevant de la catégorie hiérarchique</w:t>
      </w:r>
      <w:r w:rsidRPr="00BE3EEE">
        <w:rPr>
          <w:rStyle w:val="Sous-titreCar"/>
        </w:rPr>
        <w:t xml:space="preserve"> [A, B ou C] </w:t>
      </w:r>
      <w:r w:rsidRPr="00767477">
        <w:rPr>
          <w:rFonts w:cs="Calibri"/>
          <w:lang w:eastAsia="en-US"/>
        </w:rPr>
        <w:t xml:space="preserve">comprenant les fonctions suivantes </w:t>
      </w:r>
      <w:r w:rsidRPr="00BE3EEE">
        <w:rPr>
          <w:rStyle w:val="Sous-titreCar"/>
        </w:rPr>
        <w:t>[fonctions]</w:t>
      </w:r>
      <w:r w:rsidRPr="00767477">
        <w:rPr>
          <w:rFonts w:cs="Calibri"/>
          <w:lang w:eastAsia="en-US"/>
        </w:rPr>
        <w:t xml:space="preserve"> et fixant le niveau de rémunération ainsi que la quotité horaire de travail à hauteur de </w:t>
      </w:r>
      <w:r w:rsidRPr="00BE3EEE">
        <w:rPr>
          <w:rStyle w:val="Sous-titreCar"/>
        </w:rPr>
        <w:t xml:space="preserve">[heures]/35h00, </w:t>
      </w:r>
    </w:p>
    <w:p w14:paraId="6EB249AC" w14:textId="77777777" w:rsidR="00BE3EEE" w:rsidRPr="00767477" w:rsidRDefault="00BE3EEE" w:rsidP="00BE3EEE">
      <w:r w:rsidRPr="00767477">
        <w:t>Considérant que les besoins des services ou la nature des fonctions le justifient,</w:t>
      </w:r>
    </w:p>
    <w:p w14:paraId="48C146AB" w14:textId="77777777" w:rsidR="00BE3EEE" w:rsidRPr="00767477" w:rsidRDefault="00BE3EEE" w:rsidP="00BE3EEE">
      <w:r w:rsidRPr="00767477">
        <w:t>Considérant qu’aucun fonctionnaire n’a pu être recruté dans les conditions prévues par la loi,</w:t>
      </w:r>
    </w:p>
    <w:p w14:paraId="39C0D946" w14:textId="3947ED5A" w:rsidR="00BE3EEE" w:rsidRPr="00BE3EEE" w:rsidRDefault="00BE3EEE" w:rsidP="00BE3EEE">
      <w:pPr>
        <w:rPr>
          <w:b/>
          <w:i/>
        </w:rPr>
      </w:pPr>
      <w:r w:rsidRPr="00BE3EEE">
        <w:rPr>
          <w:b/>
          <w:i/>
        </w:rPr>
        <w:t>OU</w:t>
      </w:r>
    </w:p>
    <w:p w14:paraId="365C3363" w14:textId="1611713D" w:rsidR="00BE3EEE" w:rsidRPr="00BE3EEE" w:rsidRDefault="00BE3EEE" w:rsidP="00BE3EEE">
      <w:pPr>
        <w:rPr>
          <w:i/>
        </w:rPr>
      </w:pPr>
      <w:r w:rsidRPr="00BE3EEE">
        <w:rPr>
          <w:i/>
        </w:rPr>
        <w:t xml:space="preserve">(Si recrutement </w:t>
      </w:r>
      <w:r>
        <w:rPr>
          <w:i/>
        </w:rPr>
        <w:t>sur le fondement de l’</w:t>
      </w:r>
      <w:r w:rsidRPr="00BE3EEE">
        <w:rPr>
          <w:i/>
        </w:rPr>
        <w:t>article L.332-8 3° - emploi pour les communes de moins de 1 000 habitants et les groupements de communes de moins de 15</w:t>
      </w:r>
      <w:r w:rsidRPr="00BE3EEE">
        <w:rPr>
          <w:rFonts w:ascii="Calibri" w:hAnsi="Calibri" w:cs="Calibri"/>
          <w:i/>
        </w:rPr>
        <w:t> </w:t>
      </w:r>
      <w:r w:rsidRPr="00BE3EEE">
        <w:rPr>
          <w:i/>
        </w:rPr>
        <w:t>000 habitants)</w:t>
      </w:r>
    </w:p>
    <w:p w14:paraId="0A2C3875" w14:textId="77777777" w:rsidR="00BE3EEE" w:rsidRPr="00767477" w:rsidRDefault="00BE3EEE" w:rsidP="00BE3EEE">
      <w:pPr>
        <w:rPr>
          <w:rFonts w:cs="Calibri"/>
          <w:lang w:eastAsia="en-US"/>
        </w:rPr>
      </w:pPr>
      <w:r w:rsidRPr="00767477">
        <w:rPr>
          <w:rFonts w:cs="Calibri"/>
          <w:lang w:eastAsia="en-US"/>
        </w:rPr>
        <w:t xml:space="preserve">Vu la délibération en date du </w:t>
      </w:r>
      <w:r w:rsidRPr="00BE3EEE">
        <w:rPr>
          <w:rStyle w:val="Sous-titreCar"/>
        </w:rPr>
        <w:t>[date]</w:t>
      </w:r>
      <w:r w:rsidRPr="00767477">
        <w:rPr>
          <w:rFonts w:cs="Calibri"/>
          <w:lang w:eastAsia="en-US"/>
        </w:rPr>
        <w:t xml:space="preserve"> créant l’emploi permanent de </w:t>
      </w:r>
      <w:r w:rsidRPr="00BE3EEE">
        <w:rPr>
          <w:rStyle w:val="Sous-titreCar"/>
        </w:rPr>
        <w:t>[emploi]</w:t>
      </w:r>
      <w:r w:rsidRPr="00767477">
        <w:rPr>
          <w:rFonts w:cs="Calibri"/>
          <w:lang w:eastAsia="en-US"/>
        </w:rPr>
        <w:t xml:space="preserve"> relevant de la catégorie hiérarchique </w:t>
      </w:r>
      <w:r w:rsidRPr="004379EA">
        <w:rPr>
          <w:rStyle w:val="Sous-titreCar"/>
        </w:rPr>
        <w:t xml:space="preserve">[A, B ou C] </w:t>
      </w:r>
      <w:r w:rsidRPr="00767477">
        <w:rPr>
          <w:rFonts w:cs="Calibri"/>
          <w:lang w:eastAsia="en-US"/>
        </w:rPr>
        <w:t xml:space="preserve">comprenant les fonctions suivantes </w:t>
      </w:r>
      <w:r w:rsidRPr="004379EA">
        <w:rPr>
          <w:rStyle w:val="Sous-titreCar"/>
        </w:rPr>
        <w:t>[fonctions]</w:t>
      </w:r>
      <w:r w:rsidRPr="00767477">
        <w:rPr>
          <w:rFonts w:cs="Calibri"/>
          <w:lang w:eastAsia="en-US"/>
        </w:rPr>
        <w:t xml:space="preserve"> et fixant le niveau de rémunération ainsi que la quotité horaire de travail à hauteur de </w:t>
      </w:r>
      <w:r w:rsidRPr="004379EA">
        <w:rPr>
          <w:rStyle w:val="Sous-titreCar"/>
        </w:rPr>
        <w:t xml:space="preserve">[heures]/35h00, </w:t>
      </w:r>
    </w:p>
    <w:p w14:paraId="5D7E8BA9" w14:textId="7A527152" w:rsidR="00BE3EEE" w:rsidRPr="004379EA" w:rsidRDefault="004379EA" w:rsidP="00BE3EEE">
      <w:pPr>
        <w:rPr>
          <w:b/>
          <w:i/>
        </w:rPr>
      </w:pPr>
      <w:r w:rsidRPr="004379EA">
        <w:rPr>
          <w:b/>
          <w:i/>
        </w:rPr>
        <w:t>OU</w:t>
      </w:r>
    </w:p>
    <w:p w14:paraId="5AC0C436" w14:textId="77777777" w:rsidR="00BE3EEE" w:rsidRPr="004379EA" w:rsidRDefault="00BE3EEE" w:rsidP="00BE3EEE">
      <w:pPr>
        <w:rPr>
          <w:i/>
        </w:rPr>
      </w:pPr>
      <w:r w:rsidRPr="004379EA">
        <w:rPr>
          <w:i/>
        </w:rPr>
        <w:t>(Si recrutement article L.332-8 4° - emploi pour les communes nouvelles issues de la fusion de communes de moins de 1 000 habitants pendant une période de trois années suivant leur création, prolongée, le cas échéant, jusqu’au premier renouvellement de leur conseil municipal suivant cette même création, pour tous les emplois)</w:t>
      </w:r>
    </w:p>
    <w:p w14:paraId="30342216" w14:textId="77777777" w:rsidR="00BE3EEE" w:rsidRPr="00767477" w:rsidRDefault="00BE3EEE" w:rsidP="00BE3EEE">
      <w:pPr>
        <w:rPr>
          <w:rFonts w:cs="Calibri"/>
          <w:lang w:eastAsia="en-US"/>
        </w:rPr>
      </w:pPr>
      <w:r w:rsidRPr="00767477">
        <w:rPr>
          <w:rFonts w:cs="Calibri"/>
          <w:lang w:eastAsia="en-US"/>
        </w:rPr>
        <w:t xml:space="preserve">Vu la délibération en date du </w:t>
      </w:r>
      <w:r w:rsidRPr="004379EA">
        <w:rPr>
          <w:rStyle w:val="Sous-titreCar"/>
        </w:rPr>
        <w:t>[date]</w:t>
      </w:r>
      <w:r w:rsidRPr="00767477">
        <w:rPr>
          <w:rFonts w:cs="Calibri"/>
          <w:lang w:eastAsia="en-US"/>
        </w:rPr>
        <w:t xml:space="preserve"> créant l’emploi permanent de </w:t>
      </w:r>
      <w:r w:rsidRPr="004379EA">
        <w:rPr>
          <w:rStyle w:val="Sous-titreCar"/>
        </w:rPr>
        <w:t>[emploi]</w:t>
      </w:r>
      <w:r w:rsidRPr="00767477">
        <w:rPr>
          <w:rFonts w:cs="Calibri"/>
          <w:lang w:eastAsia="en-US"/>
        </w:rPr>
        <w:t xml:space="preserve"> relevant de la catégorie hiérarchique</w:t>
      </w:r>
      <w:r w:rsidRPr="004379EA">
        <w:rPr>
          <w:rStyle w:val="Sous-titreCar"/>
        </w:rPr>
        <w:t xml:space="preserve"> [A, B ou C] </w:t>
      </w:r>
      <w:r w:rsidRPr="00767477">
        <w:rPr>
          <w:rFonts w:cs="Calibri"/>
          <w:lang w:eastAsia="en-US"/>
        </w:rPr>
        <w:t xml:space="preserve">comprenant les fonctions suivantes </w:t>
      </w:r>
      <w:r w:rsidRPr="004379EA">
        <w:rPr>
          <w:rStyle w:val="Sous-titreCar"/>
        </w:rPr>
        <w:t>[fonctions]</w:t>
      </w:r>
      <w:r w:rsidRPr="00767477">
        <w:rPr>
          <w:rFonts w:cs="Calibri"/>
          <w:lang w:eastAsia="en-US"/>
        </w:rPr>
        <w:t xml:space="preserve"> et fixant le niveau de rémunération ainsi que la quotité horaire de travail à hauteur de </w:t>
      </w:r>
      <w:r w:rsidRPr="004379EA">
        <w:rPr>
          <w:rStyle w:val="Sous-titreCar"/>
        </w:rPr>
        <w:t>[heures]/35h00,</w:t>
      </w:r>
      <w:r w:rsidRPr="00767477">
        <w:rPr>
          <w:rFonts w:cs="Calibri"/>
          <w:lang w:eastAsia="en-US"/>
        </w:rPr>
        <w:t xml:space="preserve"> </w:t>
      </w:r>
    </w:p>
    <w:p w14:paraId="32C16A72" w14:textId="77777777" w:rsidR="004379EA" w:rsidRPr="004379EA" w:rsidRDefault="004379EA" w:rsidP="00BE3EEE">
      <w:pPr>
        <w:rPr>
          <w:b/>
          <w:i/>
        </w:rPr>
      </w:pPr>
      <w:r w:rsidRPr="004379EA">
        <w:rPr>
          <w:b/>
          <w:i/>
        </w:rPr>
        <w:t>OU</w:t>
      </w:r>
    </w:p>
    <w:p w14:paraId="2CD31A9D" w14:textId="043F4B9B" w:rsidR="00BE3EEE" w:rsidRPr="004379EA" w:rsidRDefault="004379EA" w:rsidP="00BE3EEE">
      <w:pPr>
        <w:rPr>
          <w:i/>
        </w:rPr>
      </w:pPr>
      <w:r w:rsidRPr="004379EA">
        <w:rPr>
          <w:i/>
        </w:rPr>
        <w:t xml:space="preserve"> </w:t>
      </w:r>
      <w:r w:rsidR="00BE3EEE" w:rsidRPr="004379EA">
        <w:rPr>
          <w:i/>
        </w:rPr>
        <w:t xml:space="preserve">(Si recrutement </w:t>
      </w:r>
      <w:r>
        <w:rPr>
          <w:i/>
        </w:rPr>
        <w:t>sur le fondement de l’</w:t>
      </w:r>
      <w:r w:rsidR="00BE3EEE" w:rsidRPr="004379EA">
        <w:rPr>
          <w:i/>
        </w:rPr>
        <w:t xml:space="preserve">article L.332-8 5° - collectivités territoriales ou établissements </w:t>
      </w:r>
      <w:r>
        <w:rPr>
          <w:i/>
        </w:rPr>
        <w:t xml:space="preserve">d’au moins 1000 habitants et groupements d’au moins 15 000 habitants </w:t>
      </w:r>
      <w:r w:rsidR="00BE3EEE" w:rsidRPr="004379EA">
        <w:rPr>
          <w:i/>
        </w:rPr>
        <w:t>à temps non complet inférieur à un mi-temps)</w:t>
      </w:r>
    </w:p>
    <w:p w14:paraId="39B0CB88" w14:textId="57557F7C" w:rsidR="00BE3EEE" w:rsidRPr="00767477" w:rsidRDefault="00BE3EEE" w:rsidP="00BE3EEE">
      <w:pPr>
        <w:rPr>
          <w:rFonts w:cs="Calibri"/>
          <w:lang w:eastAsia="en-US"/>
        </w:rPr>
      </w:pPr>
      <w:r w:rsidRPr="00767477">
        <w:rPr>
          <w:rFonts w:cs="Calibri"/>
          <w:lang w:eastAsia="en-US"/>
        </w:rPr>
        <w:t xml:space="preserve">Vu la délibération en date du </w:t>
      </w:r>
      <w:r w:rsidRPr="004379EA">
        <w:rPr>
          <w:rStyle w:val="Sous-titreCar"/>
        </w:rPr>
        <w:t>[date]</w:t>
      </w:r>
      <w:r w:rsidRPr="00767477">
        <w:rPr>
          <w:rFonts w:cs="Calibri"/>
          <w:lang w:eastAsia="en-US"/>
        </w:rPr>
        <w:t xml:space="preserve"> créant l’emploi permanent de </w:t>
      </w:r>
      <w:r w:rsidRPr="004379EA">
        <w:rPr>
          <w:rStyle w:val="Sous-titreCar"/>
        </w:rPr>
        <w:t>[emploi]</w:t>
      </w:r>
      <w:r w:rsidRPr="00767477">
        <w:rPr>
          <w:rFonts w:cs="Calibri"/>
          <w:lang w:eastAsia="en-US"/>
        </w:rPr>
        <w:t xml:space="preserve"> relevant de la catégorie hiérarchique </w:t>
      </w:r>
      <w:r w:rsidRPr="004379EA">
        <w:rPr>
          <w:rStyle w:val="Sous-titreCar"/>
        </w:rPr>
        <w:t>[A, B ou C]</w:t>
      </w:r>
      <w:r w:rsidRPr="00767477">
        <w:rPr>
          <w:rFonts w:cs="Calibri"/>
          <w:lang w:eastAsia="en-US"/>
        </w:rPr>
        <w:t xml:space="preserve"> comprenant les fonctions suivantes </w:t>
      </w:r>
      <w:r w:rsidRPr="004379EA">
        <w:rPr>
          <w:rStyle w:val="Sous-titreCar"/>
        </w:rPr>
        <w:t>[fonctions]</w:t>
      </w:r>
      <w:r w:rsidRPr="00767477">
        <w:rPr>
          <w:rFonts w:cs="Calibri"/>
          <w:lang w:eastAsia="en-US"/>
        </w:rPr>
        <w:t xml:space="preserve"> et fixant le niveau de rémunération ainsi que la quotité horaire de travail à hauteur de </w:t>
      </w:r>
      <w:r w:rsidRPr="004379EA">
        <w:rPr>
          <w:rStyle w:val="Sous-titreCar"/>
        </w:rPr>
        <w:t>[heures</w:t>
      </w:r>
      <w:r w:rsidR="004379EA">
        <w:rPr>
          <w:rStyle w:val="Sous-titreCar"/>
        </w:rPr>
        <w:t xml:space="preserve">]/17h30 ou 10h pour les assistantes d’enseignants artistiques ou 8h </w:t>
      </w:r>
      <w:r w:rsidRPr="004379EA">
        <w:rPr>
          <w:rStyle w:val="Sous-titreCar"/>
        </w:rPr>
        <w:t xml:space="preserve"> </w:t>
      </w:r>
      <w:r w:rsidR="004379EA">
        <w:rPr>
          <w:rStyle w:val="Sous-titreCar"/>
        </w:rPr>
        <w:t>pour les enseignants artistiques</w:t>
      </w:r>
    </w:p>
    <w:p w14:paraId="4E7CF9B8" w14:textId="4879F765" w:rsidR="00BE3EEE" w:rsidRPr="004379EA" w:rsidRDefault="004379EA" w:rsidP="00BE3EEE">
      <w:pPr>
        <w:rPr>
          <w:b/>
          <w:i/>
        </w:rPr>
      </w:pPr>
      <w:r w:rsidRPr="004379EA">
        <w:rPr>
          <w:b/>
          <w:i/>
        </w:rPr>
        <w:t>OU</w:t>
      </w:r>
    </w:p>
    <w:p w14:paraId="2B84F577" w14:textId="77777777" w:rsidR="00BE3EEE" w:rsidRPr="004379EA" w:rsidRDefault="00BE3EEE" w:rsidP="00BE3EEE">
      <w:pPr>
        <w:rPr>
          <w:i/>
        </w:rPr>
      </w:pPr>
      <w:r w:rsidRPr="004379EA">
        <w:rPr>
          <w:i/>
        </w:rPr>
        <w:t>(Si recrutement article L.332-8 6° - communes de moins de 2000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p>
    <w:p w14:paraId="26C9A61B" w14:textId="77777777" w:rsidR="00BE3EEE" w:rsidRDefault="00BE3EEE" w:rsidP="00BE3EEE">
      <w:pPr>
        <w:rPr>
          <w:rFonts w:cs="Calibri"/>
          <w:lang w:eastAsia="en-US"/>
        </w:rPr>
      </w:pPr>
      <w:r w:rsidRPr="00767477">
        <w:rPr>
          <w:rFonts w:cs="Calibri"/>
          <w:lang w:eastAsia="en-US"/>
        </w:rPr>
        <w:t xml:space="preserve">Vu la délibération en date du </w:t>
      </w:r>
      <w:r w:rsidRPr="004379EA">
        <w:rPr>
          <w:rStyle w:val="Sous-titreCar"/>
        </w:rPr>
        <w:t>[date]</w:t>
      </w:r>
      <w:r w:rsidRPr="00767477">
        <w:rPr>
          <w:rFonts w:cs="Calibri"/>
          <w:lang w:eastAsia="en-US"/>
        </w:rPr>
        <w:t xml:space="preserve"> créant l’emploi permanent de</w:t>
      </w:r>
      <w:r w:rsidRPr="004379EA">
        <w:rPr>
          <w:rStyle w:val="Sous-titreCar"/>
        </w:rPr>
        <w:t xml:space="preserve"> [emploi] </w:t>
      </w:r>
      <w:r w:rsidRPr="00767477">
        <w:rPr>
          <w:rFonts w:cs="Calibri"/>
          <w:lang w:eastAsia="en-US"/>
        </w:rPr>
        <w:t xml:space="preserve">relevant de la catégorie hiérarchique </w:t>
      </w:r>
      <w:r w:rsidRPr="004379EA">
        <w:rPr>
          <w:rStyle w:val="Sous-titreCar"/>
        </w:rPr>
        <w:t>[A, B ou C]</w:t>
      </w:r>
      <w:r w:rsidRPr="00767477">
        <w:rPr>
          <w:rFonts w:cs="Calibri"/>
          <w:lang w:eastAsia="en-US"/>
        </w:rPr>
        <w:t xml:space="preserve"> comprenant les fonctions suivantes </w:t>
      </w:r>
      <w:r w:rsidRPr="004379EA">
        <w:rPr>
          <w:rStyle w:val="Sous-titreCar"/>
        </w:rPr>
        <w:t>[fonctions]</w:t>
      </w:r>
      <w:r w:rsidRPr="00767477">
        <w:rPr>
          <w:rFonts w:cs="Calibri"/>
          <w:lang w:eastAsia="en-US"/>
        </w:rPr>
        <w:t xml:space="preserve"> et fixant le niveau de rémunération ainsi que la quotité horaire de travail à hauteur de </w:t>
      </w:r>
      <w:r w:rsidRPr="004379EA">
        <w:rPr>
          <w:rStyle w:val="Sous-titreCar"/>
        </w:rPr>
        <w:t xml:space="preserve">[heures]/35h00, </w:t>
      </w:r>
    </w:p>
    <w:p w14:paraId="20F6256A" w14:textId="4912C8CA" w:rsidR="00BE3EEE" w:rsidRPr="004379EA" w:rsidRDefault="004379EA" w:rsidP="00BE3EEE">
      <w:pPr>
        <w:rPr>
          <w:rFonts w:cs="Calibri"/>
          <w:b/>
          <w:i/>
          <w:lang w:eastAsia="en-US"/>
        </w:rPr>
      </w:pPr>
      <w:r w:rsidRPr="004379EA">
        <w:rPr>
          <w:rFonts w:cs="Calibri"/>
          <w:b/>
          <w:i/>
          <w:lang w:eastAsia="en-US"/>
        </w:rPr>
        <w:t>OU</w:t>
      </w:r>
    </w:p>
    <w:p w14:paraId="1E06118D" w14:textId="77777777" w:rsidR="00BE3EEE" w:rsidRPr="004379EA" w:rsidRDefault="00BE3EEE" w:rsidP="00BE3EEE">
      <w:pPr>
        <w:rPr>
          <w:rFonts w:cs="Calibri"/>
          <w:i/>
          <w:lang w:eastAsia="en-US"/>
        </w:rPr>
      </w:pPr>
      <w:r w:rsidRPr="004379EA">
        <w:rPr>
          <w:rFonts w:cs="Calibri"/>
          <w:i/>
          <w:lang w:eastAsia="en-US"/>
        </w:rPr>
        <w:lastRenderedPageBreak/>
        <w:t xml:space="preserve">(Si recrutement article L.332-8 7°-pour les emplois de secrétaire général de mairie des communes de moins de 2000 habitants) </w:t>
      </w:r>
    </w:p>
    <w:p w14:paraId="69DC10FB" w14:textId="77777777" w:rsidR="00BE3EEE" w:rsidRPr="00767477" w:rsidRDefault="00BE3EEE" w:rsidP="00BE3EEE">
      <w:pPr>
        <w:rPr>
          <w:rFonts w:cs="Calibri"/>
          <w:lang w:eastAsia="en-US"/>
        </w:rPr>
      </w:pPr>
      <w:r w:rsidRPr="00767477">
        <w:rPr>
          <w:rFonts w:cs="Calibri"/>
          <w:lang w:eastAsia="en-US"/>
        </w:rPr>
        <w:t xml:space="preserve">Vu la délibération en date du </w:t>
      </w:r>
      <w:r w:rsidRPr="004379EA">
        <w:rPr>
          <w:rStyle w:val="Sous-titreCar"/>
        </w:rPr>
        <w:t>[date]</w:t>
      </w:r>
      <w:r w:rsidRPr="00767477">
        <w:rPr>
          <w:rFonts w:cs="Calibri"/>
          <w:lang w:eastAsia="en-US"/>
        </w:rPr>
        <w:t xml:space="preserve"> créant l’emploi permanent de </w:t>
      </w:r>
      <w:r w:rsidRPr="004379EA">
        <w:rPr>
          <w:rStyle w:val="Sous-titreCar"/>
        </w:rPr>
        <w:t>[emploi]</w:t>
      </w:r>
      <w:r w:rsidRPr="00767477">
        <w:rPr>
          <w:rFonts w:cs="Calibri"/>
          <w:lang w:eastAsia="en-US"/>
        </w:rPr>
        <w:t xml:space="preserve"> relevant de la catégorie hiérarchique [A, B ou C] comprenant les fonctions suivantes </w:t>
      </w:r>
      <w:r w:rsidRPr="004379EA">
        <w:rPr>
          <w:rStyle w:val="Sous-titreCar"/>
        </w:rPr>
        <w:t>[fonctions]</w:t>
      </w:r>
      <w:r w:rsidRPr="00767477">
        <w:rPr>
          <w:rFonts w:cs="Calibri"/>
          <w:lang w:eastAsia="en-US"/>
        </w:rPr>
        <w:t xml:space="preserve"> et fixant le niveau de rémunération ainsi que la quotité horaire de travail à hauteur de </w:t>
      </w:r>
      <w:r w:rsidRPr="004379EA">
        <w:rPr>
          <w:rStyle w:val="Sous-titreCar"/>
        </w:rPr>
        <w:t>[heures]/35h00,</w:t>
      </w:r>
      <w:r w:rsidRPr="00767477">
        <w:rPr>
          <w:rFonts w:cs="Calibri"/>
          <w:lang w:eastAsia="en-US"/>
        </w:rPr>
        <w:t xml:space="preserve"> </w:t>
      </w:r>
    </w:p>
    <w:p w14:paraId="3A846751" w14:textId="77777777" w:rsidR="00BE3EEE" w:rsidRPr="00767477" w:rsidRDefault="00BE3EEE" w:rsidP="00BE3EEE">
      <w:pPr>
        <w:rPr>
          <w:rFonts w:cs="Calibri"/>
          <w:lang w:eastAsia="en-US"/>
        </w:rPr>
      </w:pPr>
      <w:r w:rsidRPr="00767477">
        <w:rPr>
          <w:rFonts w:cs="Calibri"/>
          <w:lang w:eastAsia="en-US"/>
        </w:rPr>
        <w:t xml:space="preserve">Vu la déclaration de vacance d’emploi auprès du centre de gestion en date du </w:t>
      </w:r>
      <w:r w:rsidRPr="004379EA">
        <w:rPr>
          <w:rStyle w:val="Sous-titreCar"/>
        </w:rPr>
        <w:t>[date],</w:t>
      </w:r>
      <w:r w:rsidRPr="00767477">
        <w:rPr>
          <w:rFonts w:cs="Calibri"/>
          <w:lang w:eastAsia="en-US"/>
        </w:rPr>
        <w:t xml:space="preserve"> </w:t>
      </w:r>
    </w:p>
    <w:p w14:paraId="047C6B1E" w14:textId="77777777" w:rsidR="00BE3EEE" w:rsidRPr="00767477" w:rsidRDefault="00BE3EEE" w:rsidP="00BE3EEE">
      <w:pPr>
        <w:rPr>
          <w:szCs w:val="22"/>
        </w:rPr>
      </w:pPr>
      <w:r w:rsidRPr="00767477">
        <w:rPr>
          <w:szCs w:val="22"/>
        </w:rPr>
        <w:t>Vu la candidature de M. ou M</w:t>
      </w:r>
      <w:r w:rsidRPr="00767477">
        <w:rPr>
          <w:szCs w:val="22"/>
          <w:vertAlign w:val="superscript"/>
        </w:rPr>
        <w:t xml:space="preserve">me </w:t>
      </w:r>
      <w:r w:rsidRPr="00767477">
        <w:rPr>
          <w:szCs w:val="22"/>
        </w:rPr>
        <w:t>[</w:t>
      </w:r>
      <w:r w:rsidRPr="004379EA">
        <w:rPr>
          <w:rStyle w:val="Sous-titreCar"/>
        </w:rPr>
        <w:t>Nom, Prénom],</w:t>
      </w:r>
    </w:p>
    <w:p w14:paraId="34260576" w14:textId="77777777" w:rsidR="00BE3EEE" w:rsidRPr="00767477" w:rsidRDefault="00BE3EEE" w:rsidP="00BE3EEE">
      <w:pPr>
        <w:rPr>
          <w:szCs w:val="22"/>
        </w:rPr>
      </w:pPr>
      <w:r w:rsidRPr="00767477">
        <w:rPr>
          <w:szCs w:val="22"/>
        </w:rPr>
        <w:t xml:space="preserve">Considérant que l’intéressé(e) est titulaire d’un contrat à durée indéterminée établi </w:t>
      </w:r>
      <w:r w:rsidRPr="004379EA">
        <w:rPr>
          <w:rStyle w:val="Sous-titreCar"/>
        </w:rPr>
        <w:t>le [date],</w:t>
      </w:r>
      <w:r w:rsidRPr="00767477">
        <w:rPr>
          <w:szCs w:val="22"/>
        </w:rPr>
        <w:t xml:space="preserve"> par lequel il (ou elle) a été recruté(e) sur le grade de </w:t>
      </w:r>
      <w:r w:rsidRPr="004379EA">
        <w:rPr>
          <w:rStyle w:val="Sous-titreCar"/>
        </w:rPr>
        <w:t>[grade],</w:t>
      </w:r>
      <w:r w:rsidRPr="00767477">
        <w:rPr>
          <w:szCs w:val="22"/>
        </w:rPr>
        <w:t xml:space="preserve"> relevant de la catégorie hiérarchique </w:t>
      </w:r>
      <w:r w:rsidRPr="004379EA">
        <w:rPr>
          <w:rStyle w:val="Sous-titreCar"/>
        </w:rPr>
        <w:t xml:space="preserve">[A, B ou C] </w:t>
      </w:r>
      <w:r w:rsidRPr="00767477">
        <w:rPr>
          <w:szCs w:val="22"/>
        </w:rPr>
        <w:t xml:space="preserve">à raison de </w:t>
      </w:r>
      <w:r w:rsidRPr="004379EA">
        <w:rPr>
          <w:rStyle w:val="Sous-titreCar"/>
        </w:rPr>
        <w:t>[heures]</w:t>
      </w:r>
      <w:r w:rsidRPr="00767477">
        <w:rPr>
          <w:szCs w:val="22"/>
        </w:rPr>
        <w:t xml:space="preserve"> hebdomadaires dans la collectivité de [</w:t>
      </w:r>
      <w:r w:rsidRPr="004379EA">
        <w:rPr>
          <w:rStyle w:val="Sous-titreCar"/>
        </w:rPr>
        <w:t>commune ou établissement public d’origine],</w:t>
      </w:r>
    </w:p>
    <w:p w14:paraId="31AC561C" w14:textId="77777777" w:rsidR="00BE3EEE" w:rsidRPr="00767477" w:rsidRDefault="00BE3EEE" w:rsidP="00BE3EEE">
      <w:pPr>
        <w:rPr>
          <w:szCs w:val="22"/>
        </w:rPr>
      </w:pPr>
      <w:r w:rsidRPr="00767477">
        <w:rPr>
          <w:szCs w:val="22"/>
        </w:rPr>
        <w:t xml:space="preserve">Considérant que la collectivité souhaite pourvoir un emploi permanent de </w:t>
      </w:r>
      <w:r w:rsidRPr="004379EA">
        <w:rPr>
          <w:rStyle w:val="Sous-titreCar"/>
        </w:rPr>
        <w:t>[poste]</w:t>
      </w:r>
      <w:r w:rsidRPr="00767477">
        <w:rPr>
          <w:szCs w:val="22"/>
        </w:rPr>
        <w:t xml:space="preserve"> dans le grade de </w:t>
      </w:r>
      <w:r w:rsidRPr="004379EA">
        <w:rPr>
          <w:rStyle w:val="Sous-titreCar"/>
        </w:rPr>
        <w:t>[grade]</w:t>
      </w:r>
      <w:r w:rsidRPr="00767477">
        <w:rPr>
          <w:szCs w:val="22"/>
        </w:rPr>
        <w:t xml:space="preserve"> relevant de la catégorie hiérarchique </w:t>
      </w:r>
      <w:r w:rsidRPr="004379EA">
        <w:rPr>
          <w:rStyle w:val="Sous-titreCar"/>
        </w:rPr>
        <w:t>[A, B ou C]</w:t>
      </w:r>
      <w:r w:rsidRPr="00767477">
        <w:rPr>
          <w:szCs w:val="22"/>
        </w:rPr>
        <w:t xml:space="preserve"> à raison de </w:t>
      </w:r>
      <w:r w:rsidRPr="004379EA">
        <w:rPr>
          <w:rStyle w:val="Sous-titreCar"/>
        </w:rPr>
        <w:t>[heures]</w:t>
      </w:r>
      <w:r w:rsidRPr="00767477">
        <w:rPr>
          <w:szCs w:val="22"/>
        </w:rPr>
        <w:t xml:space="preserve"> hebdomadaires sur le fondement de l’article L.332-8 du code général de la fonction publique,</w:t>
      </w:r>
    </w:p>
    <w:p w14:paraId="3B704CA2" w14:textId="77777777" w:rsidR="00BE3EEE" w:rsidRPr="00767477" w:rsidRDefault="00BE3EEE" w:rsidP="00BE3EEE">
      <w:pPr>
        <w:rPr>
          <w:szCs w:val="22"/>
        </w:rPr>
      </w:pPr>
      <w:r w:rsidRPr="00767477">
        <w:rPr>
          <w:szCs w:val="22"/>
        </w:rPr>
        <w:t>Considérant que l’intéressé(e) exercera dans la nouvelle collectivité des fonctions relevant de la même catégorie hiérarchique que celles occupées dans la précédente collectivité,</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12AE298A" w:rsidR="00C33420" w:rsidRDefault="00C33420" w:rsidP="000014B5">
      <w:pPr>
        <w:rPr>
          <w:b/>
          <w:u w:val="single"/>
        </w:rPr>
      </w:pPr>
      <w:r w:rsidRPr="00D14BA1">
        <w:rPr>
          <w:b/>
          <w:u w:val="single"/>
        </w:rPr>
        <w:t xml:space="preserve">Article 1 : </w:t>
      </w:r>
      <w:r w:rsidR="000014B5" w:rsidRPr="00D14BA1">
        <w:rPr>
          <w:b/>
          <w:u w:val="single"/>
        </w:rPr>
        <w:t>Objet</w:t>
      </w:r>
      <w:r w:rsidR="003E32C4">
        <w:rPr>
          <w:b/>
          <w:u w:val="single"/>
        </w:rPr>
        <w:t xml:space="preserve"> et durée</w:t>
      </w:r>
      <w:r w:rsidR="000014B5" w:rsidRPr="00D14BA1">
        <w:rPr>
          <w:b/>
          <w:u w:val="single"/>
        </w:rPr>
        <w:t xml:space="preserve"> du</w:t>
      </w:r>
      <w:r w:rsidRPr="00D14BA1">
        <w:rPr>
          <w:b/>
          <w:u w:val="single"/>
        </w:rPr>
        <w:t xml:space="preserve"> contrat</w:t>
      </w:r>
    </w:p>
    <w:p w14:paraId="7DC4D0C8" w14:textId="77777777" w:rsidR="00D14BA1" w:rsidRPr="00D14BA1" w:rsidRDefault="00D14BA1" w:rsidP="000014B5">
      <w:pPr>
        <w:rPr>
          <w:b/>
          <w:u w:val="single"/>
        </w:rPr>
      </w:pPr>
    </w:p>
    <w:p w14:paraId="73F99FAA" w14:textId="77777777" w:rsidR="004379EA" w:rsidRPr="00767477" w:rsidRDefault="004379EA" w:rsidP="004379EA">
      <w:pPr>
        <w:rPr>
          <w:lang w:eastAsia="en-US"/>
        </w:rPr>
      </w:pPr>
      <w:r>
        <w:rPr>
          <w:lang w:eastAsia="en-US"/>
        </w:rPr>
        <w:t>Le co-contractant</w:t>
      </w:r>
      <w:r w:rsidRPr="00767477">
        <w:rPr>
          <w:lang w:eastAsia="en-US"/>
        </w:rPr>
        <w:t xml:space="preserve"> est recruté(e) pour une durée indéterminée à compter du </w:t>
      </w:r>
      <w:r w:rsidRPr="004379EA">
        <w:rPr>
          <w:rStyle w:val="Sous-titreCar"/>
        </w:rPr>
        <w:t>[date],</w:t>
      </w:r>
      <w:r w:rsidRPr="00767477">
        <w:rPr>
          <w:lang w:eastAsia="en-US"/>
        </w:rPr>
        <w:t xml:space="preserve"> en qualité de</w:t>
      </w:r>
      <w:r w:rsidRPr="004379EA">
        <w:rPr>
          <w:rStyle w:val="Sous-titreCar"/>
        </w:rPr>
        <w:t xml:space="preserve"> [intitulé du poste et grade], </w:t>
      </w:r>
      <w:r w:rsidRPr="00767477">
        <w:rPr>
          <w:lang w:eastAsia="en-US"/>
        </w:rPr>
        <w:t xml:space="preserve">contractuel relevant de la catégorie hiérarchique </w:t>
      </w:r>
      <w:r w:rsidRPr="004379EA">
        <w:rPr>
          <w:rStyle w:val="Sous-titreCar"/>
        </w:rPr>
        <w:t>[A, B ou C]</w:t>
      </w:r>
      <w:r w:rsidRPr="00767477">
        <w:rPr>
          <w:lang w:eastAsia="en-US"/>
        </w:rPr>
        <w:t xml:space="preserve"> pour assurer les fonctions suivantes :</w:t>
      </w:r>
    </w:p>
    <w:p w14:paraId="4A6F42CE" w14:textId="6842761C" w:rsidR="004379EA" w:rsidRPr="00767477" w:rsidRDefault="004379EA" w:rsidP="004379EA">
      <w:pPr>
        <w:pStyle w:val="Sous-titre"/>
        <w:rPr>
          <w:rFonts w:eastAsia="Calibri"/>
          <w:lang w:eastAsia="en-US"/>
        </w:rPr>
      </w:pPr>
      <w:r w:rsidRPr="00767477">
        <w:rPr>
          <w:rFonts w:eastAsia="Calibri"/>
          <w:lang w:eastAsia="en-US"/>
        </w:rPr>
        <w:t>[</w:t>
      </w:r>
      <w:r w:rsidRPr="00767477">
        <w:rPr>
          <w:lang w:eastAsia="en-US"/>
        </w:rPr>
        <w:t>Fonctions</w:t>
      </w:r>
      <w:r w:rsidRPr="00767477">
        <w:rPr>
          <w:rFonts w:eastAsia="Calibri"/>
          <w:lang w:eastAsia="en-US"/>
        </w:rPr>
        <w:t>].</w:t>
      </w:r>
    </w:p>
    <w:p w14:paraId="2962B107" w14:textId="77777777" w:rsidR="004379EA" w:rsidRPr="00767477" w:rsidRDefault="004379EA" w:rsidP="004379EA">
      <w:pPr>
        <w:rPr>
          <w:lang w:eastAsia="en-US"/>
        </w:rPr>
      </w:pPr>
      <w:r>
        <w:rPr>
          <w:lang w:eastAsia="en-US"/>
        </w:rPr>
        <w:t>Le co-contractant</w:t>
      </w:r>
      <w:r w:rsidRPr="00767477">
        <w:rPr>
          <w:lang w:eastAsia="en-US"/>
        </w:rPr>
        <w:t xml:space="preserve"> sera affecté à </w:t>
      </w:r>
      <w:r w:rsidRPr="004379EA">
        <w:rPr>
          <w:rStyle w:val="Sous-titreCar"/>
        </w:rPr>
        <w:t>[lieu d’affectation].</w:t>
      </w:r>
    </w:p>
    <w:p w14:paraId="7BB22053" w14:textId="77777777" w:rsidR="003E32C4" w:rsidRDefault="003E32C4" w:rsidP="003E32C4"/>
    <w:p w14:paraId="58B9FC84" w14:textId="639E8403" w:rsidR="004379EA" w:rsidRPr="004379EA" w:rsidRDefault="004379EA" w:rsidP="003E32C4">
      <w:pPr>
        <w:rPr>
          <w:b/>
          <w:u w:val="single"/>
        </w:rPr>
      </w:pPr>
      <w:r w:rsidRPr="004379EA">
        <w:rPr>
          <w:b/>
          <w:u w:val="single"/>
        </w:rPr>
        <w:t xml:space="preserve">Article 2 : Période d’essai </w:t>
      </w:r>
    </w:p>
    <w:p w14:paraId="533B5FE0" w14:textId="77777777" w:rsidR="004379EA" w:rsidRDefault="004379EA" w:rsidP="003E32C4"/>
    <w:p w14:paraId="22981791" w14:textId="77777777" w:rsidR="004379EA" w:rsidRPr="00767477" w:rsidRDefault="004379EA" w:rsidP="004379EA">
      <w:pPr>
        <w:rPr>
          <w:u w:val="single"/>
          <w:lang w:eastAsia="en-US"/>
        </w:rPr>
      </w:pPr>
      <w:r>
        <w:rPr>
          <w:lang w:eastAsia="en-US"/>
        </w:rPr>
        <w:t>Le co-contractant</w:t>
      </w:r>
      <w:r w:rsidRPr="00767477">
        <w:rPr>
          <w:lang w:eastAsia="en-US"/>
        </w:rPr>
        <w:t xml:space="preserve"> n’est pas soumis(e) à une période d’essai.</w:t>
      </w:r>
    </w:p>
    <w:p w14:paraId="3FCCD3CB" w14:textId="77777777" w:rsidR="004379EA" w:rsidRPr="00767477" w:rsidRDefault="004379EA" w:rsidP="004379EA">
      <w:pPr>
        <w:rPr>
          <w:b/>
          <w:lang w:eastAsia="en-US"/>
        </w:rPr>
      </w:pPr>
      <w:r w:rsidRPr="00767477">
        <w:rPr>
          <w:b/>
          <w:lang w:eastAsia="en-US"/>
        </w:rPr>
        <w:t>OU</w:t>
      </w:r>
    </w:p>
    <w:p w14:paraId="2FE5DC7A" w14:textId="77777777" w:rsidR="004379EA" w:rsidRPr="00767477" w:rsidRDefault="004379EA" w:rsidP="004379EA">
      <w:pPr>
        <w:rPr>
          <w:u w:val="single"/>
          <w:lang w:eastAsia="en-US"/>
        </w:rPr>
      </w:pPr>
      <w:r w:rsidRPr="00767477">
        <w:rPr>
          <w:u w:val="single"/>
          <w:lang w:eastAsia="en-US"/>
        </w:rPr>
        <w:t>1. Durée de la période d’essai</w:t>
      </w:r>
    </w:p>
    <w:p w14:paraId="204803F9" w14:textId="77777777" w:rsidR="004379EA" w:rsidRPr="00767477" w:rsidRDefault="004379EA" w:rsidP="004379EA">
      <w:pPr>
        <w:rPr>
          <w:lang w:eastAsia="en-US"/>
        </w:rPr>
      </w:pPr>
      <w:r>
        <w:rPr>
          <w:lang w:eastAsia="en-US"/>
        </w:rPr>
        <w:t>Le co-contractant</w:t>
      </w:r>
      <w:r w:rsidRPr="00767477">
        <w:rPr>
          <w:lang w:eastAsia="en-US"/>
        </w:rPr>
        <w:t xml:space="preserve"> est soumis(e) à une période d’essai de </w:t>
      </w:r>
      <w:r w:rsidRPr="004379EA">
        <w:rPr>
          <w:rStyle w:val="Sous-titreCar"/>
        </w:rPr>
        <w:t>[durée]</w:t>
      </w:r>
      <w:r w:rsidRPr="00767477">
        <w:rPr>
          <w:lang w:eastAsia="en-US"/>
        </w:rPr>
        <w:t xml:space="preserve"> qui permettra à la collectivité d’évaluer les compétences de l’agent et à ce dernier d’apprécier si les fonctions occupées lui conviennent.</w:t>
      </w:r>
    </w:p>
    <w:p w14:paraId="05CD1E29" w14:textId="77777777" w:rsidR="004379EA" w:rsidRDefault="004379EA" w:rsidP="004379EA">
      <w:pPr>
        <w:rPr>
          <w:i/>
          <w:lang w:eastAsia="en-US"/>
        </w:rPr>
      </w:pPr>
    </w:p>
    <w:p w14:paraId="2507F2FD" w14:textId="7E8A74F1" w:rsidR="004379EA" w:rsidRPr="004379EA" w:rsidRDefault="004379EA" w:rsidP="004379EA">
      <w:pPr>
        <w:rPr>
          <w:i/>
          <w:lang w:eastAsia="en-US"/>
        </w:rPr>
      </w:pPr>
      <w:r w:rsidRPr="00767477">
        <w:rPr>
          <w:i/>
          <w:lang w:eastAsia="en-US"/>
        </w:rPr>
        <w:t>(</w:t>
      </w:r>
      <w:r w:rsidRPr="004379EA">
        <w:rPr>
          <w:rStyle w:val="Rfrenceple"/>
        </w:rPr>
        <w:t>période d’essai qui peut être modulée à raison d’un jour ouvré par semaine de durée de contrat, dans la limite de 3 mois)</w:t>
      </w:r>
    </w:p>
    <w:p w14:paraId="3D01A1B0" w14:textId="77777777" w:rsidR="004379EA" w:rsidRPr="00767477" w:rsidRDefault="004379EA" w:rsidP="004379EA">
      <w:pPr>
        <w:rPr>
          <w:lang w:eastAsia="en-US"/>
        </w:rPr>
      </w:pPr>
    </w:p>
    <w:p w14:paraId="02A4A53F" w14:textId="77777777" w:rsidR="004379EA" w:rsidRPr="00767477" w:rsidRDefault="004379EA" w:rsidP="004379EA">
      <w:pPr>
        <w:rPr>
          <w:u w:val="single"/>
          <w:lang w:eastAsia="en-US"/>
        </w:rPr>
      </w:pPr>
      <w:r w:rsidRPr="00767477">
        <w:rPr>
          <w:u w:val="single"/>
          <w:lang w:eastAsia="en-US"/>
        </w:rPr>
        <w:t>2. Possibilité de renouveler la période d’essai</w:t>
      </w:r>
    </w:p>
    <w:p w14:paraId="0164203B" w14:textId="77777777" w:rsidR="004379EA" w:rsidRPr="00767477" w:rsidRDefault="004379EA" w:rsidP="004379EA">
      <w:pPr>
        <w:rPr>
          <w:lang w:eastAsia="en-US"/>
        </w:rPr>
      </w:pPr>
      <w:r w:rsidRPr="00767477">
        <w:rPr>
          <w:lang w:eastAsia="en-US"/>
        </w:rPr>
        <w:t>La collectivité se réserve la possibilité de renouveler une fois la période d’essai pour une durée au plus égale à sa durée initiale.</w:t>
      </w:r>
    </w:p>
    <w:p w14:paraId="79352FB4" w14:textId="08647C58" w:rsidR="004379EA" w:rsidRDefault="004379EA" w:rsidP="004379EA">
      <w:pPr>
        <w:rPr>
          <w:lang w:eastAsia="en-US"/>
        </w:rPr>
      </w:pPr>
    </w:p>
    <w:p w14:paraId="20B53ADD" w14:textId="77777777" w:rsidR="004379EA" w:rsidRDefault="004379EA" w:rsidP="004379EA">
      <w:pPr>
        <w:rPr>
          <w:lang w:eastAsia="en-US"/>
        </w:rPr>
      </w:pPr>
    </w:p>
    <w:p w14:paraId="08740D0A" w14:textId="77777777" w:rsidR="004379EA" w:rsidRPr="00767477" w:rsidRDefault="004379EA" w:rsidP="004379EA">
      <w:pPr>
        <w:rPr>
          <w:u w:val="single"/>
          <w:lang w:eastAsia="en-US"/>
        </w:rPr>
      </w:pPr>
      <w:r w:rsidRPr="00767477">
        <w:rPr>
          <w:u w:val="single"/>
          <w:lang w:eastAsia="en-US"/>
        </w:rPr>
        <w:lastRenderedPageBreak/>
        <w:t>3. Licenciement en cours ou au terme de la période d’essai</w:t>
      </w:r>
    </w:p>
    <w:p w14:paraId="6724FAA4" w14:textId="77777777" w:rsidR="004379EA" w:rsidRPr="00767477" w:rsidRDefault="004379EA" w:rsidP="004379EA">
      <w:pPr>
        <w:rPr>
          <w:lang w:eastAsia="en-US"/>
        </w:rPr>
      </w:pPr>
      <w:r w:rsidRPr="00767477">
        <w:rPr>
          <w:lang w:eastAsia="en-US"/>
        </w:rPr>
        <w:t>Le licenciement en cours ou au terme de la période d’essai ne peut intervenir qu’à l’issue d’un entretien préalable au cours duquel l’agent peut être assisté par une personne de son choix conformément au 3</w:t>
      </w:r>
      <w:r w:rsidRPr="00767477">
        <w:rPr>
          <w:vertAlign w:val="superscript"/>
          <w:lang w:eastAsia="en-US"/>
        </w:rPr>
        <w:t>ème</w:t>
      </w:r>
      <w:r w:rsidRPr="00767477">
        <w:rPr>
          <w:lang w:eastAsia="en-US"/>
        </w:rPr>
        <w:t xml:space="preserve"> alinéa de l’article 42 du décret n°88-145 du 15 février 1988.</w:t>
      </w:r>
    </w:p>
    <w:p w14:paraId="10B066C2" w14:textId="77777777" w:rsidR="004379EA" w:rsidRPr="00767477" w:rsidRDefault="004379EA" w:rsidP="004379EA">
      <w:pPr>
        <w:rPr>
          <w:lang w:eastAsia="en-US"/>
        </w:rPr>
      </w:pPr>
      <w:r w:rsidRPr="00767477">
        <w:rPr>
          <w:lang w:eastAsia="en-US"/>
        </w:rPr>
        <w:t>La décision de licenciement est notifiée à l’intéressée par lettre recommandée avec demande d’avis de réception ou par lettre remise en main propre contre décharge.</w:t>
      </w:r>
    </w:p>
    <w:p w14:paraId="3F56D3FE" w14:textId="75825CA7" w:rsidR="004379EA" w:rsidRDefault="004379EA" w:rsidP="003E32C4">
      <w:pPr>
        <w:rPr>
          <w:lang w:eastAsia="en-US"/>
        </w:rPr>
      </w:pPr>
      <w:r w:rsidRPr="00767477">
        <w:rPr>
          <w:lang w:eastAsia="en-US"/>
        </w:rPr>
        <w:t>Le licenciement au cours de la période d’essai doit être motivé.</w:t>
      </w:r>
    </w:p>
    <w:p w14:paraId="010F867A" w14:textId="77777777" w:rsidR="004379EA" w:rsidRDefault="004379EA" w:rsidP="003E32C4"/>
    <w:p w14:paraId="0613C9E5" w14:textId="344FCE12" w:rsidR="003E32C4" w:rsidRDefault="004379EA" w:rsidP="003E32C4">
      <w:pPr>
        <w:rPr>
          <w:b/>
          <w:u w:val="single"/>
        </w:rPr>
      </w:pPr>
      <w:r>
        <w:rPr>
          <w:b/>
          <w:u w:val="single"/>
        </w:rPr>
        <w:t>Article 3</w:t>
      </w:r>
      <w:r w:rsidR="003E32C4" w:rsidRPr="003E32C4">
        <w:rPr>
          <w:b/>
          <w:u w:val="single"/>
        </w:rPr>
        <w:t xml:space="preserve"> : Droits et obligations </w:t>
      </w:r>
    </w:p>
    <w:p w14:paraId="7778E3E2" w14:textId="77777777" w:rsidR="003E32C4" w:rsidRPr="003E32C4" w:rsidRDefault="003E32C4" w:rsidP="003E32C4">
      <w:pPr>
        <w:rPr>
          <w:b/>
          <w:u w:val="single"/>
        </w:rPr>
      </w:pPr>
    </w:p>
    <w:p w14:paraId="36E379AB" w14:textId="77777777" w:rsidR="003E32C4" w:rsidRDefault="003E32C4" w:rsidP="003E32C4">
      <w:r w:rsidRPr="00D85E7D">
        <w:t>Le co-contractant</w:t>
      </w:r>
      <w:r>
        <w:t xml:space="preserve"> est soumis pendant toute la période d’exécution du présent contrat aux droits et obligations des fonctionnaires tels que définis par le Livre Ier du Code Général de la Fonction Publique, notamment ses articles L.111-1 à L.142-3 et par le décret n°88-145 du 15 février 1988. </w:t>
      </w:r>
    </w:p>
    <w:p w14:paraId="4FBF5F26" w14:textId="77777777" w:rsidR="003E32C4" w:rsidRDefault="003E32C4" w:rsidP="003E32C4">
      <w:r>
        <w:t xml:space="preserve">En cas de manquement à ces obligations, le régime disciplinaire prévu par le décret précité pourra être appliqué. </w:t>
      </w:r>
    </w:p>
    <w:p w14:paraId="73CB3FF2" w14:textId="77777777" w:rsidR="003E32C4" w:rsidRDefault="003E32C4" w:rsidP="000014B5"/>
    <w:p w14:paraId="57612804" w14:textId="4C7965CD" w:rsidR="003E32C4" w:rsidRPr="003E32C4" w:rsidRDefault="004379EA" w:rsidP="000014B5">
      <w:pPr>
        <w:rPr>
          <w:b/>
          <w:u w:val="single"/>
        </w:rPr>
      </w:pPr>
      <w:r>
        <w:rPr>
          <w:b/>
          <w:u w:val="single"/>
        </w:rPr>
        <w:t>Article 4</w:t>
      </w:r>
      <w:r w:rsidR="003E32C4" w:rsidRPr="003E32C4">
        <w:rPr>
          <w:b/>
          <w:u w:val="single"/>
        </w:rPr>
        <w:t xml:space="preserve"> : Temps de travail et rémunération </w:t>
      </w:r>
    </w:p>
    <w:p w14:paraId="23A11FE5" w14:textId="77777777" w:rsidR="003E32C4" w:rsidRDefault="003E32C4" w:rsidP="000014B5"/>
    <w:p w14:paraId="70D4835F" w14:textId="43E8616E" w:rsidR="003E32C4" w:rsidRDefault="003E32C4" w:rsidP="003E32C4">
      <w:r>
        <w:t>Pour l’exécution du présent contrat, le co-contractant exercera ses fonctions pour une durée hebdomadaire de</w:t>
      </w:r>
      <w:r>
        <w:rPr>
          <w:i/>
        </w:rPr>
        <w:t xml:space="preserve"> </w:t>
      </w:r>
      <w:r>
        <w:t xml:space="preserve"> </w:t>
      </w:r>
      <w:r w:rsidRPr="003E32C4">
        <w:rPr>
          <w:rStyle w:val="Sous-titreCar"/>
        </w:rPr>
        <w:t>préciser la durée hebdomadaire</w:t>
      </w:r>
    </w:p>
    <w:p w14:paraId="23C0CFBF" w14:textId="77777777" w:rsidR="003E32C4" w:rsidRDefault="003E32C4" w:rsidP="003E32C4">
      <w:r>
        <w:t xml:space="preserve">Compte tenu notamment des fonctions occupées par l’agent, de la qualification requise pour leur exercice, des diplômes détenus par l’agent ainsi que de son expérience professionnelle, le co-contractant percevra une rémunération mensuelle sur la base de l’indice brut </w:t>
      </w:r>
      <w:r w:rsidRPr="003E32C4">
        <w:rPr>
          <w:rStyle w:val="Sous-titreCar"/>
        </w:rPr>
        <w:t>…………,</w:t>
      </w:r>
      <w:r>
        <w:t xml:space="preserve"> indice majoré</w:t>
      </w:r>
      <w:r w:rsidRPr="003E32C4">
        <w:rPr>
          <w:rStyle w:val="Sous-titreCar"/>
        </w:rPr>
        <w:t>………….,</w:t>
      </w:r>
      <w:r>
        <w:t xml:space="preserve"> l’indemnité de résidence et le supplément familial de traitement, (le cas échéant) les primes et indemnités instituées par l’assemblée délibérante. </w:t>
      </w:r>
    </w:p>
    <w:p w14:paraId="3CA1C993" w14:textId="77777777" w:rsidR="00972CB9" w:rsidRPr="00972CB9" w:rsidRDefault="00972CB9" w:rsidP="00972CB9">
      <w:r w:rsidRPr="00972CB9">
        <w:t xml:space="preserve">Le co-contractant percevra ainsi une rémunération brute mensuelle de </w:t>
      </w:r>
      <w:r w:rsidRPr="00972CB9">
        <w:rPr>
          <w:rStyle w:val="Sous-titreCar"/>
        </w:rPr>
        <w:t>… € / mois.</w:t>
      </w:r>
    </w:p>
    <w:p w14:paraId="25BEF202" w14:textId="77777777" w:rsidR="00972CB9" w:rsidRPr="00972CB9" w:rsidRDefault="00972CB9" w:rsidP="00972CB9"/>
    <w:p w14:paraId="2956F5E5" w14:textId="77777777" w:rsidR="00972CB9" w:rsidRDefault="00972CB9" w:rsidP="00972CB9">
      <w:pPr>
        <w:rPr>
          <w:rFonts w:cs="Calibri Light"/>
          <w:b/>
        </w:rPr>
      </w:pPr>
      <w:r w:rsidRPr="00972CB9">
        <w:rPr>
          <w:rFonts w:cs="Calibri Light"/>
        </w:rPr>
        <w:t>La rémunération ainsi définie fera l’objet d’un réexamen au minimum tous les 3 ans notamment au vu des résultats d’un entretien professionnel organisé selon la même périodicité.</w:t>
      </w:r>
    </w:p>
    <w:p w14:paraId="5212458C" w14:textId="77777777" w:rsidR="00972CB9" w:rsidRDefault="00972CB9" w:rsidP="003E32C4"/>
    <w:p w14:paraId="34C168F2" w14:textId="57C54DA0" w:rsidR="003E32C4" w:rsidRPr="003E32C4" w:rsidRDefault="003E32C4" w:rsidP="000014B5">
      <w:pPr>
        <w:rPr>
          <w:b/>
          <w:u w:val="single"/>
        </w:rPr>
      </w:pPr>
      <w:r w:rsidRPr="003E32C4">
        <w:rPr>
          <w:b/>
          <w:u w:val="single"/>
        </w:rPr>
        <w:t>Article 4 : Sécurité sociale</w:t>
      </w:r>
    </w:p>
    <w:p w14:paraId="050BF33A" w14:textId="77777777" w:rsidR="003E32C4" w:rsidRDefault="003E32C4" w:rsidP="000014B5"/>
    <w:p w14:paraId="0F40771F" w14:textId="77777777" w:rsidR="003E32C4" w:rsidRPr="007B79BB" w:rsidRDefault="003E32C4" w:rsidP="003E32C4">
      <w:r>
        <w:t>Pendant tout la durée du présent contrat, l</w:t>
      </w:r>
      <w:r w:rsidRPr="001C2A35">
        <w:t xml:space="preserve">a rémunération </w:t>
      </w:r>
      <w:r>
        <w:t>du co-contractant est soumise aux</w:t>
      </w:r>
      <w:r w:rsidRPr="001C2A35">
        <w:t xml:space="preserve"> cotisat</w:t>
      </w:r>
      <w:r>
        <w:t>ions sociales prévues par le régime général de Sécurité S</w:t>
      </w:r>
      <w:r w:rsidRPr="001C2A35">
        <w:t>ociale</w:t>
      </w:r>
      <w:r>
        <w:t xml:space="preserve">., le co-contractant </w:t>
      </w:r>
      <w:r w:rsidRPr="001C2A35">
        <w:t>est affilié(</w:t>
      </w:r>
      <w:r w:rsidRPr="001C2A35">
        <w:rPr>
          <w:i/>
          <w:iCs/>
        </w:rPr>
        <w:t>e</w:t>
      </w:r>
      <w:r w:rsidRPr="001C2A35">
        <w:t>) à l’IRCANTEC.</w:t>
      </w:r>
    </w:p>
    <w:p w14:paraId="52BF6EFB" w14:textId="77777777" w:rsidR="000014B5" w:rsidRDefault="000014B5" w:rsidP="00972CB9"/>
    <w:p w14:paraId="3A47959E" w14:textId="6B4C2380" w:rsidR="00B16CF2" w:rsidRPr="00B16CF2" w:rsidRDefault="00B16CF2" w:rsidP="00B16CF2">
      <w:pPr>
        <w:rPr>
          <w:b/>
          <w:u w:val="single"/>
        </w:rPr>
      </w:pPr>
      <w:r w:rsidRPr="00B16CF2">
        <w:rPr>
          <w:b/>
          <w:u w:val="single"/>
        </w:rPr>
        <w:t xml:space="preserve">Article </w:t>
      </w:r>
      <w:r w:rsidR="00A5264A">
        <w:rPr>
          <w:b/>
          <w:u w:val="single"/>
        </w:rPr>
        <w:t>5</w:t>
      </w:r>
      <w:r w:rsidRPr="00B16CF2">
        <w:rPr>
          <w:b/>
          <w:u w:val="single"/>
        </w:rPr>
        <w:t> : Congés annuels</w:t>
      </w:r>
    </w:p>
    <w:p w14:paraId="6743AAB5" w14:textId="77777777" w:rsidR="00B16CF2" w:rsidRPr="00765926" w:rsidRDefault="00B16CF2" w:rsidP="00B16CF2"/>
    <w:p w14:paraId="4ABF5429" w14:textId="0686AB7E" w:rsidR="00B16CF2" w:rsidRDefault="00B16CF2" w:rsidP="00B16CF2">
      <w:r w:rsidRPr="00600AA3">
        <w:rPr>
          <w:szCs w:val="22"/>
        </w:rPr>
        <w:t xml:space="preserve">La durée des congés annuels est fixée à cinq fois les obligations hebdomadaires de services. </w:t>
      </w:r>
      <w:r w:rsidRPr="00765926">
        <w:t xml:space="preserve"> </w:t>
      </w:r>
    </w:p>
    <w:p w14:paraId="601CF6AC" w14:textId="43ED17DF" w:rsidR="00B16CF2" w:rsidRPr="00765926" w:rsidRDefault="00B16CF2" w:rsidP="00B16CF2">
      <w:r w:rsidRPr="00765926">
        <w:t xml:space="preserve">Ces congés sont pris après accord du supérieur hiérarchique, compte tenu des nécessités du service. </w:t>
      </w:r>
    </w:p>
    <w:p w14:paraId="370BD319" w14:textId="7C49DE6F" w:rsidR="00B16CF2" w:rsidRPr="00600AA3" w:rsidRDefault="00B16CF2" w:rsidP="00B16CF2">
      <w:pPr>
        <w:rPr>
          <w:color w:val="000000"/>
          <w:szCs w:val="22"/>
        </w:rPr>
      </w:pPr>
      <w:r>
        <w:rPr>
          <w:color w:val="000000"/>
          <w:szCs w:val="22"/>
        </w:rPr>
        <w:t>E</w:t>
      </w:r>
      <w:r w:rsidRPr="00600AA3">
        <w:rPr>
          <w:color w:val="000000"/>
          <w:szCs w:val="22"/>
        </w:rPr>
        <w:t xml:space="preserve">n cas de licenciement n'intervenant pas à titre de sanction disciplinaire, le cocontractant qui, du fait de l'autorité territoriale, en raison notamment de la définition du calendrier des congés </w:t>
      </w:r>
      <w:r w:rsidRPr="00600AA3">
        <w:rPr>
          <w:color w:val="000000"/>
          <w:szCs w:val="22"/>
        </w:rPr>
        <w:lastRenderedPageBreak/>
        <w:t>annuels, n'a pu bénéficier de tout ou partie de ses congés annuels a droit à une indemnité compensatrice.</w:t>
      </w:r>
    </w:p>
    <w:p w14:paraId="13BC0FF2" w14:textId="494FB8B9" w:rsidR="00B16CF2" w:rsidRPr="00B16CF2" w:rsidRDefault="00B16CF2" w:rsidP="00B16CF2">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30BC77E1" w14:textId="77777777" w:rsidR="00B16CF2" w:rsidRDefault="00B16CF2" w:rsidP="00B16CF2">
      <w:r w:rsidRPr="00600AA3">
        <w:t>Lorsque le cocontractant a pu bénéficier d'une partie de ses congés annuels, l'indemnité compensatrice est proportionnelle au nombre de jours de congés annuels dus et non pris.</w:t>
      </w:r>
    </w:p>
    <w:p w14:paraId="3D0382D7" w14:textId="77777777" w:rsidR="00B16CF2" w:rsidRDefault="00B16CF2" w:rsidP="00B16CF2"/>
    <w:p w14:paraId="24DD569A" w14:textId="1B432322" w:rsidR="00B16CF2" w:rsidRPr="00B16CF2" w:rsidRDefault="00B16CF2" w:rsidP="00B16CF2">
      <w:pPr>
        <w:rPr>
          <w:b/>
          <w:u w:val="single"/>
        </w:rPr>
      </w:pPr>
      <w:r w:rsidRPr="00B16CF2">
        <w:rPr>
          <w:b/>
          <w:u w:val="single"/>
        </w:rPr>
        <w:t xml:space="preserve">Article </w:t>
      </w:r>
      <w:r w:rsidR="00A5264A">
        <w:rPr>
          <w:b/>
          <w:u w:val="single"/>
        </w:rPr>
        <w:t>6</w:t>
      </w:r>
      <w:r w:rsidRPr="00B16CF2">
        <w:rPr>
          <w:b/>
          <w:u w:val="single"/>
        </w:rPr>
        <w:t>: Formation d’intégration et de professionnalisation</w:t>
      </w:r>
    </w:p>
    <w:p w14:paraId="5A500EA3" w14:textId="77777777" w:rsidR="00B16CF2" w:rsidRPr="00765926" w:rsidRDefault="00B16CF2" w:rsidP="00B16CF2">
      <w:pPr>
        <w:rPr>
          <w:u w:val="single"/>
        </w:rPr>
      </w:pPr>
    </w:p>
    <w:p w14:paraId="4C4E6200" w14:textId="77777777" w:rsidR="00B16CF2" w:rsidRPr="00765926" w:rsidRDefault="00B16CF2" w:rsidP="00B16CF2">
      <w:pPr>
        <w:rPr>
          <w:b/>
        </w:rPr>
      </w:pPr>
      <w:r w:rsidRPr="00765926">
        <w:t xml:space="preserve">Le co-contractant est astreint à suivre les actions de formation mentionnées au </w:t>
      </w:r>
      <w:r>
        <w:t>1° de l’article L.422-21 du Code général de la fonction publique</w:t>
      </w:r>
      <w:r w:rsidRPr="00765926">
        <w:t xml:space="preserve"> (formation d’intégration et de professionnalisation définie par les statuts particuliers). </w:t>
      </w:r>
    </w:p>
    <w:p w14:paraId="46AFC2E2" w14:textId="77777777" w:rsidR="000014B5" w:rsidRPr="00600AA3" w:rsidRDefault="000014B5" w:rsidP="00EB0F65"/>
    <w:p w14:paraId="5FD42161" w14:textId="5FCF4729" w:rsidR="000014B5" w:rsidRPr="00600AA3" w:rsidRDefault="00FA0C6D" w:rsidP="00EB0F65">
      <w:pPr>
        <w:rPr>
          <w:b/>
          <w:u w:val="single"/>
          <w:lang w:eastAsia="en-US"/>
        </w:rPr>
      </w:pPr>
      <w:r>
        <w:rPr>
          <w:b/>
          <w:u w:val="single"/>
          <w:lang w:eastAsia="en-US"/>
        </w:rPr>
        <w:t xml:space="preserve">Article </w:t>
      </w:r>
      <w:r w:rsidR="00A5264A">
        <w:rPr>
          <w:b/>
          <w:u w:val="single"/>
          <w:lang w:eastAsia="en-US"/>
        </w:rPr>
        <w:t>7</w:t>
      </w:r>
      <w:r w:rsidR="003E32C4">
        <w:rPr>
          <w:b/>
          <w:u w:val="single"/>
          <w:lang w:eastAsia="en-US"/>
        </w:rPr>
        <w:t> : Rupture du contrat</w:t>
      </w:r>
    </w:p>
    <w:p w14:paraId="681178CD" w14:textId="77777777" w:rsidR="000014B5" w:rsidRPr="00600AA3" w:rsidRDefault="000014B5" w:rsidP="00EB0F65">
      <w:pPr>
        <w:rPr>
          <w:rFonts w:eastAsia="Times New Roman"/>
        </w:rPr>
      </w:pPr>
    </w:p>
    <w:p w14:paraId="6ADB9EC8" w14:textId="6DFD8CA4" w:rsidR="003E32C4" w:rsidRPr="003E32C4" w:rsidRDefault="00CE4F80" w:rsidP="003E32C4">
      <w:pPr>
        <w:rPr>
          <w:b/>
        </w:rPr>
      </w:pPr>
      <w:r>
        <w:rPr>
          <w:b/>
        </w:rPr>
        <w:t>8</w:t>
      </w:r>
      <w:r w:rsidR="003E32C4" w:rsidRPr="003E32C4">
        <w:rPr>
          <w:b/>
        </w:rPr>
        <w:t xml:space="preserve">.1 Licenciement à l’initiative de l’établissement employeur  </w:t>
      </w:r>
    </w:p>
    <w:p w14:paraId="2398B03C" w14:textId="77777777" w:rsidR="00A5264A" w:rsidRPr="00767477" w:rsidRDefault="00A5264A" w:rsidP="00A5264A">
      <w:pPr>
        <w:rPr>
          <w:lang w:eastAsia="en-US"/>
        </w:rPr>
      </w:pPr>
      <w:r>
        <w:rPr>
          <w:lang w:eastAsia="en-US"/>
        </w:rPr>
        <w:t>En cas de licenciement, le co-contractant</w:t>
      </w:r>
      <w:r w:rsidRPr="00767477">
        <w:rPr>
          <w:lang w:eastAsia="en-US"/>
        </w:rPr>
        <w:t xml:space="preserve"> a droit à un préavis d'une durée :</w:t>
      </w:r>
    </w:p>
    <w:p w14:paraId="33ADA1B9" w14:textId="58060612" w:rsidR="00A5264A" w:rsidRPr="00767477" w:rsidRDefault="00A5264A" w:rsidP="00A5264A">
      <w:pPr>
        <w:pStyle w:val="Paragraphedeliste"/>
        <w:numPr>
          <w:ilvl w:val="0"/>
          <w:numId w:val="14"/>
        </w:numPr>
        <w:rPr>
          <w:lang w:eastAsia="en-US"/>
        </w:rPr>
      </w:pPr>
      <w:r w:rsidRPr="00767477">
        <w:rPr>
          <w:lang w:eastAsia="en-US"/>
        </w:rPr>
        <w:t xml:space="preserve">De </w:t>
      </w:r>
      <w:r w:rsidRPr="00A5264A">
        <w:rPr>
          <w:b/>
          <w:lang w:eastAsia="en-US"/>
        </w:rPr>
        <w:t>8 jours</w:t>
      </w:r>
      <w:r w:rsidRPr="00767477">
        <w:rPr>
          <w:lang w:eastAsia="en-US"/>
        </w:rPr>
        <w:t xml:space="preserve"> dans le cas où la durée des services est de moins de 6 mois, </w:t>
      </w:r>
    </w:p>
    <w:p w14:paraId="27220B54" w14:textId="558FC4CB" w:rsidR="00A5264A" w:rsidRPr="00767477" w:rsidRDefault="00A5264A" w:rsidP="00A5264A">
      <w:pPr>
        <w:pStyle w:val="Paragraphedeliste"/>
        <w:numPr>
          <w:ilvl w:val="0"/>
          <w:numId w:val="14"/>
        </w:numPr>
        <w:rPr>
          <w:lang w:eastAsia="en-US"/>
        </w:rPr>
      </w:pPr>
      <w:r w:rsidRPr="00767477">
        <w:rPr>
          <w:lang w:eastAsia="en-US"/>
        </w:rPr>
        <w:t xml:space="preserve">De </w:t>
      </w:r>
      <w:r w:rsidRPr="00A5264A">
        <w:rPr>
          <w:b/>
          <w:lang w:eastAsia="en-US"/>
        </w:rPr>
        <w:t>1 mois</w:t>
      </w:r>
      <w:r w:rsidRPr="00767477">
        <w:rPr>
          <w:lang w:eastAsia="en-US"/>
        </w:rPr>
        <w:t xml:space="preserve"> dans le cas où la durée des services est comprise entre 6 mois et 2 ans,</w:t>
      </w:r>
    </w:p>
    <w:p w14:paraId="6019562D" w14:textId="01036D02" w:rsidR="00A5264A" w:rsidRPr="00767477" w:rsidRDefault="00A5264A" w:rsidP="00A5264A">
      <w:pPr>
        <w:pStyle w:val="Paragraphedeliste"/>
        <w:numPr>
          <w:ilvl w:val="0"/>
          <w:numId w:val="14"/>
        </w:numPr>
        <w:rPr>
          <w:lang w:eastAsia="en-US"/>
        </w:rPr>
      </w:pPr>
      <w:r w:rsidRPr="00767477">
        <w:rPr>
          <w:lang w:eastAsia="en-US"/>
        </w:rPr>
        <w:t xml:space="preserve">De </w:t>
      </w:r>
      <w:r w:rsidRPr="00A5264A">
        <w:rPr>
          <w:b/>
          <w:lang w:eastAsia="en-US"/>
        </w:rPr>
        <w:t>2 mois</w:t>
      </w:r>
      <w:r w:rsidRPr="00767477">
        <w:rPr>
          <w:lang w:eastAsia="en-US"/>
        </w:rPr>
        <w:t xml:space="preserve"> dans le cas où la durée des services est supérieure ou égale à 2 ans. </w:t>
      </w:r>
    </w:p>
    <w:p w14:paraId="470BF32F" w14:textId="77777777" w:rsidR="00A5264A" w:rsidRDefault="00A5264A" w:rsidP="00A5264A">
      <w:pPr>
        <w:rPr>
          <w:lang w:eastAsia="en-US"/>
        </w:rPr>
      </w:pPr>
    </w:p>
    <w:p w14:paraId="307D2F10" w14:textId="77777777" w:rsidR="00A5264A" w:rsidRPr="00767477" w:rsidRDefault="00A5264A" w:rsidP="00A5264A">
      <w:pPr>
        <w:rPr>
          <w:lang w:eastAsia="en-US"/>
        </w:rPr>
      </w:pPr>
      <w:r w:rsidRPr="00767477">
        <w:rPr>
          <w:lang w:eastAsia="en-US"/>
        </w:rPr>
        <w:t>L'attribution du préavis tel que déterminé ci-dessus est toutefois conditionnée par l'application des dispositions de la réglementation en vigueur au moment de la rupture du contrat.</w:t>
      </w:r>
    </w:p>
    <w:p w14:paraId="4D833C3F" w14:textId="77777777" w:rsidR="00A5264A" w:rsidRDefault="00A5264A" w:rsidP="00A5264A">
      <w:pPr>
        <w:rPr>
          <w:lang w:eastAsia="en-US"/>
        </w:rPr>
      </w:pPr>
      <w:r w:rsidRPr="00767477">
        <w:rPr>
          <w:lang w:eastAsia="en-US"/>
        </w:rPr>
        <w:t>Il en est fait de même pour l'attribution de l'indemnité de licenciement.</w:t>
      </w:r>
    </w:p>
    <w:p w14:paraId="11C24AF8" w14:textId="77777777" w:rsidR="00A5264A" w:rsidRPr="00767477" w:rsidRDefault="00A5264A" w:rsidP="00A5264A">
      <w:pPr>
        <w:rPr>
          <w:lang w:eastAsia="en-US"/>
        </w:rPr>
      </w:pPr>
      <w:r w:rsidRPr="00767477">
        <w:rPr>
          <w:lang w:eastAsia="en-US"/>
        </w:rPr>
        <w:t>Aucun préavis n'est dû en cas de licenciement pour motif disciplinaire, pour inaptitude physique, à la suite d'un congé sans traitement d'une durée égale ou supérieure à 1 mois, soit au cours ou à l'expiration d'une période d'essai.</w:t>
      </w:r>
    </w:p>
    <w:p w14:paraId="48FC4A7C" w14:textId="7DBFF8BD" w:rsidR="00A5264A" w:rsidRPr="00767477" w:rsidRDefault="00A5264A" w:rsidP="00A5264A">
      <w:pPr>
        <w:rPr>
          <w:lang w:eastAsia="en-US"/>
        </w:rPr>
      </w:pPr>
      <w:r w:rsidRPr="00767477">
        <w:rPr>
          <w:lang w:eastAsia="en-US"/>
        </w:rPr>
        <w:t>Le licenciement est notifié par lettre recommandée avec accusé de réception</w:t>
      </w:r>
      <w:r>
        <w:rPr>
          <w:lang w:eastAsia="en-US"/>
        </w:rPr>
        <w:t>.</w:t>
      </w:r>
    </w:p>
    <w:p w14:paraId="7F54EDAE" w14:textId="77777777" w:rsidR="003E32C4" w:rsidRDefault="003E32C4" w:rsidP="003E32C4"/>
    <w:p w14:paraId="782F1DB9" w14:textId="0885BFAB" w:rsidR="003E32C4" w:rsidRPr="00914329" w:rsidRDefault="00CE4F80" w:rsidP="003E32C4">
      <w:pPr>
        <w:rPr>
          <w:b/>
        </w:rPr>
      </w:pPr>
      <w:r>
        <w:rPr>
          <w:b/>
        </w:rPr>
        <w:t>8</w:t>
      </w:r>
      <w:r w:rsidR="003E32C4" w:rsidRPr="00914329">
        <w:rPr>
          <w:b/>
        </w:rPr>
        <w:t>.2 Démission du co-contractant</w:t>
      </w:r>
    </w:p>
    <w:p w14:paraId="09365A72" w14:textId="77777777" w:rsidR="00BD5B10" w:rsidRPr="00767477" w:rsidRDefault="00BD5B10" w:rsidP="00BD5B10">
      <w:pPr>
        <w:rPr>
          <w:lang w:eastAsia="en-US"/>
        </w:rPr>
      </w:pPr>
      <w:r>
        <w:rPr>
          <w:lang w:eastAsia="en-US"/>
        </w:rPr>
        <w:t>La démission du co-contractant</w:t>
      </w:r>
      <w:r w:rsidRPr="00767477">
        <w:rPr>
          <w:lang w:eastAsia="en-US"/>
        </w:rPr>
        <w:t xml:space="preserve"> doit être clairement exprimée par lettre recommandée avec accusé de réception.</w:t>
      </w:r>
    </w:p>
    <w:p w14:paraId="0538701B" w14:textId="77777777" w:rsidR="00BD5B10" w:rsidRPr="00767477" w:rsidRDefault="00BD5B10" w:rsidP="00BD5B10">
      <w:pPr>
        <w:rPr>
          <w:lang w:eastAsia="en-US"/>
        </w:rPr>
      </w:pPr>
      <w:r>
        <w:rPr>
          <w:lang w:eastAsia="en-US"/>
        </w:rPr>
        <w:t xml:space="preserve">Le co-contractant </w:t>
      </w:r>
      <w:r w:rsidRPr="00767477">
        <w:rPr>
          <w:lang w:eastAsia="en-US"/>
        </w:rPr>
        <w:t>est tenu</w:t>
      </w:r>
      <w:r w:rsidRPr="00767477">
        <w:rPr>
          <w:i/>
          <w:iCs/>
          <w:lang w:eastAsia="en-US"/>
        </w:rPr>
        <w:t xml:space="preserve">(e) </w:t>
      </w:r>
      <w:r w:rsidRPr="00767477">
        <w:rPr>
          <w:lang w:eastAsia="en-US"/>
        </w:rPr>
        <w:t>de respecter un préavis d'une durée :</w:t>
      </w:r>
    </w:p>
    <w:p w14:paraId="6131611F" w14:textId="78AE3507" w:rsidR="00BD5B10" w:rsidRPr="00767477" w:rsidRDefault="00BD5B10" w:rsidP="00BD5B10">
      <w:pPr>
        <w:pStyle w:val="Paragraphedeliste"/>
        <w:numPr>
          <w:ilvl w:val="0"/>
          <w:numId w:val="14"/>
        </w:numPr>
        <w:rPr>
          <w:lang w:eastAsia="en-US"/>
        </w:rPr>
      </w:pPr>
      <w:r w:rsidRPr="00767477">
        <w:rPr>
          <w:lang w:eastAsia="en-US"/>
        </w:rPr>
        <w:t xml:space="preserve">De </w:t>
      </w:r>
      <w:r w:rsidRPr="00BD5B10">
        <w:rPr>
          <w:b/>
          <w:lang w:eastAsia="en-US"/>
        </w:rPr>
        <w:t>8 jours</w:t>
      </w:r>
      <w:r w:rsidRPr="00767477">
        <w:rPr>
          <w:lang w:eastAsia="en-US"/>
        </w:rPr>
        <w:t xml:space="preserve"> au moins si la durée des services est inférieure à 6 mois, </w:t>
      </w:r>
    </w:p>
    <w:p w14:paraId="3E67CDA2" w14:textId="0162BFAA" w:rsidR="00BD5B10" w:rsidRPr="00767477" w:rsidRDefault="00BD5B10" w:rsidP="00BD5B10">
      <w:pPr>
        <w:pStyle w:val="Paragraphedeliste"/>
        <w:numPr>
          <w:ilvl w:val="0"/>
          <w:numId w:val="14"/>
        </w:numPr>
        <w:rPr>
          <w:lang w:eastAsia="en-US"/>
        </w:rPr>
      </w:pPr>
      <w:r w:rsidRPr="00767477">
        <w:rPr>
          <w:lang w:eastAsia="en-US"/>
        </w:rPr>
        <w:t xml:space="preserve">De </w:t>
      </w:r>
      <w:r w:rsidRPr="00BD5B10">
        <w:rPr>
          <w:b/>
          <w:lang w:eastAsia="en-US"/>
        </w:rPr>
        <w:t>1 mois</w:t>
      </w:r>
      <w:r w:rsidRPr="00767477">
        <w:rPr>
          <w:lang w:eastAsia="en-US"/>
        </w:rPr>
        <w:t xml:space="preserve"> au moins si la durée des services est égale ou supérieure à 6 mois et inférieure à 2 ans, </w:t>
      </w:r>
    </w:p>
    <w:p w14:paraId="10E939B5" w14:textId="6DBFFA64" w:rsidR="00BD5B10" w:rsidRDefault="00BD5B10" w:rsidP="00BD5B10">
      <w:pPr>
        <w:pStyle w:val="Paragraphedeliste"/>
        <w:numPr>
          <w:ilvl w:val="0"/>
          <w:numId w:val="14"/>
        </w:numPr>
        <w:rPr>
          <w:lang w:eastAsia="en-US"/>
        </w:rPr>
      </w:pPr>
      <w:r w:rsidRPr="00767477">
        <w:rPr>
          <w:lang w:eastAsia="en-US"/>
        </w:rPr>
        <w:t xml:space="preserve">De </w:t>
      </w:r>
      <w:r w:rsidRPr="00BD5B10">
        <w:rPr>
          <w:b/>
          <w:lang w:eastAsia="en-US"/>
        </w:rPr>
        <w:t>2 mois</w:t>
      </w:r>
      <w:r w:rsidRPr="00767477">
        <w:rPr>
          <w:lang w:eastAsia="en-US"/>
        </w:rPr>
        <w:t xml:space="preserve"> au moins si la durée des services est égale ou supérieure à 2 ans. </w:t>
      </w:r>
    </w:p>
    <w:p w14:paraId="5E57878E" w14:textId="77777777" w:rsidR="00BD5B10" w:rsidRPr="00767477" w:rsidRDefault="00BD5B10" w:rsidP="00BD5B10">
      <w:pPr>
        <w:rPr>
          <w:lang w:eastAsia="en-US"/>
        </w:rPr>
      </w:pPr>
      <w:r w:rsidRPr="00767477">
        <w:rPr>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B2BC43A" w14:textId="77777777" w:rsidR="000014B5" w:rsidRDefault="000014B5" w:rsidP="003E32C4"/>
    <w:p w14:paraId="72AD592E" w14:textId="77777777" w:rsidR="00BD5B10" w:rsidRDefault="00BD5B10" w:rsidP="003E32C4"/>
    <w:p w14:paraId="4ED2B19F" w14:textId="77777777" w:rsidR="00BD5B10" w:rsidRDefault="00BD5B10" w:rsidP="003E32C4"/>
    <w:p w14:paraId="0D92631B" w14:textId="1978F0F8" w:rsidR="00B16CF2" w:rsidRPr="00B16CF2" w:rsidRDefault="00CE4F80" w:rsidP="00B16CF2">
      <w:pPr>
        <w:rPr>
          <w:b/>
        </w:rPr>
      </w:pPr>
      <w:r>
        <w:rPr>
          <w:b/>
        </w:rPr>
        <w:lastRenderedPageBreak/>
        <w:t>8</w:t>
      </w:r>
      <w:r w:rsidR="00B16CF2" w:rsidRPr="00B16CF2">
        <w:rPr>
          <w:b/>
        </w:rPr>
        <w:t>.3 Rupture conventionnelle</w:t>
      </w:r>
    </w:p>
    <w:p w14:paraId="43F0B875" w14:textId="77777777" w:rsidR="00B16CF2" w:rsidRDefault="00B16CF2" w:rsidP="00B16CF2"/>
    <w:p w14:paraId="4FD89005" w14:textId="6F2A5E17" w:rsidR="00B16CF2" w:rsidRDefault="00B16CF2" w:rsidP="00B16CF2">
      <w:r w:rsidRPr="00E35ED1">
        <w:t>Elle peut émaner de l’autorité territoriale ou de l’agent. Elle prend la forme d’une lettre recommandée avec accusé de réception</w:t>
      </w:r>
      <w:r>
        <w:t xml:space="preserve">. Pour le co-contractant, elle est </w:t>
      </w:r>
      <w:r w:rsidRPr="00E35ED1">
        <w:t>adress</w:t>
      </w:r>
      <w:r>
        <w:t>ée</w:t>
      </w:r>
      <w:r w:rsidRPr="00E35ED1">
        <w:t xml:space="preserve"> soit à l’autorité territoriale soit au service </w:t>
      </w:r>
      <w:r>
        <w:t xml:space="preserve">en charge </w:t>
      </w:r>
      <w:r w:rsidRPr="00E35ED1">
        <w:t>des ressources humaines.</w:t>
      </w:r>
    </w:p>
    <w:p w14:paraId="7708E4FE" w14:textId="6268B163" w:rsidR="00B16CF2" w:rsidRDefault="00B16CF2" w:rsidP="00B16CF2">
      <w:r>
        <w:t xml:space="preserve">Elle donne lieu à un entretien préalable obligatoire qui </w:t>
      </w:r>
      <w:r w:rsidRPr="00E35ED1">
        <w:t>se tient</w:t>
      </w:r>
      <w:r>
        <w:t>,</w:t>
      </w:r>
      <w:r w:rsidRPr="00E35ED1">
        <w:t xml:space="preserve"> à minima</w:t>
      </w:r>
      <w:r>
        <w:t>,</w:t>
      </w:r>
      <w:r w:rsidRPr="00E35ED1">
        <w:t xml:space="preserve"> à 10 jours francs ou au plus tard 1 mois après la réception de la lettre de demande de rupture conventionnelle.</w:t>
      </w:r>
    </w:p>
    <w:p w14:paraId="2B45E6E0" w14:textId="46EDDBDD" w:rsidR="00B16CF2" w:rsidRPr="00E35ED1" w:rsidRDefault="00B16CF2" w:rsidP="00B16CF2">
      <w:r w:rsidRPr="00E35ED1">
        <w:t>Lorsque les deux parties sont parvenues à un accord, elles signent une convention de rupture conventionnelle.</w:t>
      </w:r>
      <w:r>
        <w:t xml:space="preserve"> </w:t>
      </w:r>
      <w:r w:rsidRPr="00E35ED1">
        <w:t>La convention fixe notamment le montant de l’indemnité spécifique de rupture conventionnelle et la date de cessation définitive des fonctions de l’agent.</w:t>
      </w:r>
    </w:p>
    <w:p w14:paraId="0B391F0A" w14:textId="47689603" w:rsidR="00B16CF2" w:rsidRDefault="00B16CF2" w:rsidP="00B16CF2">
      <w:r w:rsidRPr="00E35ED1">
        <w:t>La signature a lieu au moins 15 jours francs après le dernier entretien. Un exemplaire est ensuite adressé à chacune des parties.</w:t>
      </w:r>
    </w:p>
    <w:p w14:paraId="26F82850" w14:textId="124FBC19" w:rsidR="00B16CF2" w:rsidRDefault="00B16CF2" w:rsidP="00B16CF2">
      <w:r>
        <w:t xml:space="preserve">Les parties disposent d’un </w:t>
      </w:r>
      <w:r w:rsidRPr="00E35ED1">
        <w:t xml:space="preserve">délai </w:t>
      </w:r>
      <w:r>
        <w:t xml:space="preserve">de rétractation </w:t>
      </w:r>
      <w:r w:rsidRPr="00E35ED1">
        <w:t>de 15 jours francs, qui commence à courir 1 jour franc après la date de la signature de la convention de rupture conventionnelle.</w:t>
      </w:r>
      <w:r>
        <w:t xml:space="preserve"> </w:t>
      </w:r>
      <w:r w:rsidRPr="00E35ED1">
        <w:t>La rétractation s’exerce sous la forme d’une lettre recommandée avec demande d’avis de réception ou remise en main propre contre signature.</w:t>
      </w:r>
    </w:p>
    <w:p w14:paraId="192F4654" w14:textId="77777777" w:rsidR="00B16CF2" w:rsidRPr="00E35ED1" w:rsidRDefault="00B16CF2" w:rsidP="00B16CF2">
      <w:r w:rsidRPr="00157221">
        <w:t>En l’absence de rétractation de l’une des parties</w:t>
      </w:r>
      <w:r>
        <w:t>, l</w:t>
      </w:r>
      <w:r w:rsidRPr="00157221">
        <w:t>e contrat prend fin à la date convenue dans la convention de rupture conventionnelle.</w:t>
      </w:r>
    </w:p>
    <w:p w14:paraId="32CA14F2" w14:textId="77777777" w:rsidR="00B16CF2" w:rsidRPr="00600AA3" w:rsidRDefault="00B16CF2" w:rsidP="003E32C4"/>
    <w:p w14:paraId="48D43CAF" w14:textId="31A6DCAA" w:rsidR="000014B5" w:rsidRPr="00914329" w:rsidRDefault="00CE4F80" w:rsidP="00EB0F65">
      <w:pPr>
        <w:rPr>
          <w:b/>
          <w:u w:val="single"/>
        </w:rPr>
      </w:pPr>
      <w:r>
        <w:rPr>
          <w:b/>
          <w:u w:val="single"/>
        </w:rPr>
        <w:t>Article 9</w:t>
      </w:r>
      <w:r w:rsidR="00914329" w:rsidRPr="00914329">
        <w:rPr>
          <w:b/>
          <w:u w:val="single"/>
        </w:rPr>
        <w:t xml:space="preserve"> : Fin de contrat </w:t>
      </w:r>
    </w:p>
    <w:p w14:paraId="0258C9CC" w14:textId="77777777" w:rsidR="000014B5" w:rsidRDefault="000014B5" w:rsidP="00EB0F65">
      <w:pPr>
        <w:pStyle w:val="09-TexteLosangesBleus"/>
        <w:numPr>
          <w:ilvl w:val="0"/>
          <w:numId w:val="0"/>
        </w:numPr>
        <w:spacing w:before="0" w:line="240" w:lineRule="auto"/>
        <w:rPr>
          <w:rFonts w:ascii="Konstanz" w:eastAsia="Calibri" w:hAnsi="Konstanz" w:cs="Calibri"/>
          <w:u w:val="single"/>
        </w:rPr>
      </w:pPr>
    </w:p>
    <w:p w14:paraId="34443330" w14:textId="77777777" w:rsidR="00914329" w:rsidRPr="001C2A35" w:rsidRDefault="00914329" w:rsidP="00914329">
      <w:r w:rsidRPr="001C2A35">
        <w:t xml:space="preserve">A </w:t>
      </w:r>
      <w:r>
        <w:t>la fin du contrat, le co-contractant</w:t>
      </w:r>
      <w:r w:rsidRPr="001C2A35">
        <w:t xml:space="preserve"> se verra délivrer un certificat qui contient les mentions suivantes :</w:t>
      </w:r>
    </w:p>
    <w:p w14:paraId="376C90EE" w14:textId="77777777" w:rsidR="00914329" w:rsidRPr="001C2A35" w:rsidRDefault="00914329" w:rsidP="00914329">
      <w:r w:rsidRPr="001C2A35">
        <w:t>- la date de recrutement de l'agent et celle de fin de contrat ;</w:t>
      </w:r>
    </w:p>
    <w:p w14:paraId="5B00C1CB" w14:textId="77777777" w:rsidR="00914329" w:rsidRPr="001C2A35" w:rsidRDefault="00914329" w:rsidP="00914329">
      <w:r w:rsidRPr="001C2A35">
        <w:t>- les fonctions occupées par l'agent, la catégorie hiérarchique dont elles relèvent et la durée pendant laquelle elles ont été effectivement exercées ;</w:t>
      </w:r>
    </w:p>
    <w:p w14:paraId="47175F96" w14:textId="77777777" w:rsidR="00914329" w:rsidRDefault="00914329" w:rsidP="00914329">
      <w:r w:rsidRPr="001C2A35">
        <w:t>- le cas échéant, les périodes de congés non assimilées à des périodes de travail effectif.</w:t>
      </w:r>
    </w:p>
    <w:p w14:paraId="62BF90CE" w14:textId="29491916" w:rsidR="00CE4F80" w:rsidRDefault="00CE4F80" w:rsidP="00914329">
      <w:r>
        <w:t xml:space="preserve">- Une attestation pôle emploi </w:t>
      </w:r>
    </w:p>
    <w:p w14:paraId="72673599" w14:textId="77777777" w:rsidR="00CE4F80" w:rsidRDefault="00CE4F80" w:rsidP="00EB0F65"/>
    <w:p w14:paraId="6EA601D4" w14:textId="6A29DAE6" w:rsidR="000014B5" w:rsidRPr="00CE4F80" w:rsidRDefault="00CE4F80" w:rsidP="00EB0F65">
      <w:pPr>
        <w:rPr>
          <w:b/>
          <w:u w:val="single"/>
        </w:rPr>
      </w:pPr>
      <w:r>
        <w:rPr>
          <w:b/>
          <w:u w:val="single"/>
        </w:rPr>
        <w:t>Article 10</w:t>
      </w:r>
      <w:r w:rsidRPr="00CE4F80">
        <w:rPr>
          <w:b/>
          <w:u w:val="single"/>
        </w:rPr>
        <w:t xml:space="preserve"> : Annexes </w:t>
      </w:r>
    </w:p>
    <w:p w14:paraId="1D40CAD8" w14:textId="77777777" w:rsidR="00CE4F80" w:rsidRDefault="00CE4F80" w:rsidP="00EB0F65"/>
    <w:p w14:paraId="41F535A1" w14:textId="77777777" w:rsidR="00CE4F80" w:rsidRPr="00600AA3" w:rsidRDefault="00CE4F80" w:rsidP="00CE4F80">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35EEE46D" w14:textId="4D091CC3" w:rsidR="00CE4F80" w:rsidRDefault="00CE4F80" w:rsidP="00CE4F80">
      <w:r>
        <w:t xml:space="preserve">Le règlement intérieur général, </w:t>
      </w:r>
    </w:p>
    <w:p w14:paraId="71A13071" w14:textId="52016B36" w:rsidR="00CE4F80" w:rsidRPr="00600AA3" w:rsidRDefault="00CE4F80" w:rsidP="00CE4F80">
      <w:pPr>
        <w:rPr>
          <w:u w:val="single"/>
        </w:rPr>
      </w:pPr>
      <w:r>
        <w:t xml:space="preserve">Le règlement intérieur relatif à la santé et à la sécurité au travail </w:t>
      </w:r>
    </w:p>
    <w:p w14:paraId="00F395FB" w14:textId="77777777" w:rsidR="00CE4F80" w:rsidRPr="00600AA3" w:rsidRDefault="00CE4F80" w:rsidP="00EB0F65"/>
    <w:p w14:paraId="71A1254A" w14:textId="32CE4B46" w:rsidR="000014B5" w:rsidRPr="00EB0F65" w:rsidRDefault="00CE4F80" w:rsidP="00EB0F65">
      <w:pPr>
        <w:rPr>
          <w:b/>
          <w:u w:val="single"/>
        </w:rPr>
      </w:pPr>
      <w:r>
        <w:rPr>
          <w:b/>
          <w:u w:val="single"/>
        </w:rPr>
        <w:t>Article 11</w:t>
      </w:r>
      <w:r w:rsidR="000014B5" w:rsidRPr="00EB0F65">
        <w:rPr>
          <w:b/>
          <w:u w:val="single"/>
        </w:rPr>
        <w:t xml:space="preserve"> : </w:t>
      </w:r>
      <w:r w:rsidR="00EB0F65">
        <w:rPr>
          <w:b/>
          <w:u w:val="single"/>
        </w:rPr>
        <w:t>Recours</w:t>
      </w:r>
    </w:p>
    <w:p w14:paraId="4E206AB6" w14:textId="77777777" w:rsidR="000014B5" w:rsidRPr="00600AA3" w:rsidRDefault="000014B5" w:rsidP="00EB0F65"/>
    <w:p w14:paraId="3FF9F1C0" w14:textId="77777777" w:rsidR="00914329" w:rsidRPr="00CA75B5" w:rsidRDefault="00914329" w:rsidP="00914329">
      <w:r w:rsidRPr="00CA75B5">
        <w:t xml:space="preserve">Les litiges nés de l’exécution du présent contrat relèvent de la compétence de la juridiction administrative du tribunal administratif de Montpellier dans le respect du délai de recours de deux mois. </w:t>
      </w:r>
    </w:p>
    <w:p w14:paraId="72BC1775" w14:textId="4914B95E" w:rsidR="00914329" w:rsidRPr="007B79BB" w:rsidRDefault="00914329" w:rsidP="00914329">
      <w:r w:rsidRPr="00CA75B5">
        <w:t>Le tribunal administratif peut aussi être saisi par l’application informatique «</w:t>
      </w:r>
      <w:r w:rsidRPr="00CA75B5">
        <w:rPr>
          <w:rFonts w:ascii="Calibri" w:hAnsi="Calibri" w:cs="Calibri"/>
        </w:rPr>
        <w:t> </w:t>
      </w:r>
      <w:r w:rsidRPr="00CA75B5">
        <w:t>Télérecours Citoyens</w:t>
      </w:r>
      <w:r w:rsidRPr="00CA75B5">
        <w:rPr>
          <w:rFonts w:ascii="Calibri" w:hAnsi="Calibri" w:cs="Calibri"/>
        </w:rPr>
        <w:t> </w:t>
      </w:r>
      <w:r w:rsidRPr="00CA75B5">
        <w:rPr>
          <w:rFonts w:cs="Konstanz"/>
        </w:rPr>
        <w:t>»</w:t>
      </w:r>
      <w:r w:rsidRPr="00CA75B5">
        <w:t xml:space="preserve"> accessible par le site internet </w:t>
      </w:r>
      <w:hyperlink r:id="rId8" w:history="1">
        <w:r w:rsidRPr="00914329">
          <w:t>www.telerecours.fr</w:t>
        </w:r>
      </w:hyperlink>
      <w:r w:rsidRPr="00CA75B5">
        <w:t xml:space="preserve"> </w:t>
      </w:r>
    </w:p>
    <w:p w14:paraId="34DCD300" w14:textId="77777777" w:rsidR="00914329" w:rsidRPr="001C2A35" w:rsidRDefault="00914329" w:rsidP="00914329">
      <w:r w:rsidRPr="001C2A35">
        <w:lastRenderedPageBreak/>
        <w:t xml:space="preserve">Le présent contrat sera transmis au représentant de l’Etat, au comptable de </w:t>
      </w:r>
      <w:r>
        <w:t>la collectivité, au Président</w:t>
      </w:r>
      <w:r w:rsidRPr="001C2A35">
        <w:t xml:space="preserve"> du Centre de gestion, et notifié à l’intéressé(e). </w:t>
      </w:r>
    </w:p>
    <w:p w14:paraId="5AAEAE6F" w14:textId="77777777" w:rsidR="000014B5" w:rsidRPr="00600AA3" w:rsidRDefault="000014B5" w:rsidP="00EB0F65"/>
    <w:p w14:paraId="45EF0C6B" w14:textId="77777777" w:rsidR="00BC068D" w:rsidRPr="004134C4" w:rsidRDefault="00BC068D" w:rsidP="002379ED"/>
    <w:p w14:paraId="7EBC508A" w14:textId="1B7AD69A" w:rsidR="00BC068D" w:rsidRPr="004134C4" w:rsidRDefault="00BC068D" w:rsidP="00BC068D">
      <w:pPr>
        <w:rPr>
          <w:rFonts w:cs="Calibri"/>
        </w:rPr>
      </w:pPr>
      <w:bookmarkStart w:id="2"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r w:rsidR="00CE4F80">
        <w:rPr>
          <w:rStyle w:val="Sous-titreCar"/>
        </w:rPr>
        <w:t xml:space="preserve"> </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24BC6CC2" w14:textId="2E056770" w:rsidR="00BC068D"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1"/>
      <w:bookmarkEnd w:id="2"/>
    </w:p>
    <w:p w14:paraId="1132C0CC" w14:textId="77777777" w:rsidR="00914329" w:rsidRPr="001C2A35" w:rsidRDefault="00914329" w:rsidP="00914329">
      <w:pPr>
        <w:rPr>
          <w:rFonts w:ascii="Konstanz" w:hAnsi="Konstanz" w:cs="Calibri"/>
        </w:rPr>
      </w:pPr>
    </w:p>
    <w:p w14:paraId="205DF27B" w14:textId="77777777" w:rsidR="00914329" w:rsidRPr="00914329" w:rsidRDefault="00914329" w:rsidP="00914329">
      <w:pPr>
        <w:rPr>
          <w:rFonts w:eastAsia="Times New Roman" w:cs="Calibri"/>
        </w:rPr>
      </w:pPr>
    </w:p>
    <w:sectPr w:rsidR="00914329" w:rsidRPr="00914329"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onstanz">
    <w:panose1 w:val="00000000000000000000"/>
    <w:charset w:val="00"/>
    <w:family w:val="modern"/>
    <w:notTrueType/>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877378"/>
      <w:docPartObj>
        <w:docPartGallery w:val="Page Numbers (Bottom of Page)"/>
        <w:docPartUnique/>
      </w:docPartObj>
    </w:sdtPr>
    <w:sdtContent>
      <w:p w14:paraId="70DBC9F7" w14:textId="40A9803A" w:rsidR="00CE2E9B" w:rsidRDefault="00CE2E9B">
        <w:pPr>
          <w:pStyle w:val="Pieddepage"/>
          <w:jc w:val="right"/>
        </w:pPr>
        <w:r>
          <w:fldChar w:fldCharType="begin"/>
        </w:r>
        <w:r>
          <w:instrText>PAGE   \* MERGEFORMAT</w:instrText>
        </w:r>
        <w:r>
          <w:fldChar w:fldCharType="separate"/>
        </w:r>
        <w:r>
          <w:rPr>
            <w:noProof/>
          </w:rPr>
          <w:t>7</w:t>
        </w:r>
        <w:r>
          <w:fldChar w:fldCharType="end"/>
        </w:r>
      </w:p>
    </w:sdtContent>
  </w:sdt>
  <w:p w14:paraId="1BCE2DED" w14:textId="77777777" w:rsidR="00CE2E9B" w:rsidRDefault="00CE2E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284DCC"/>
    <w:multiLevelType w:val="hybridMultilevel"/>
    <w:tmpl w:val="856262B4"/>
    <w:lvl w:ilvl="0" w:tplc="428ECDD2">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9"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67020B03"/>
    <w:multiLevelType w:val="hybridMultilevel"/>
    <w:tmpl w:val="B592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370AF2"/>
    <w:multiLevelType w:val="hybridMultilevel"/>
    <w:tmpl w:val="9860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6F6464"/>
    <w:multiLevelType w:val="hybridMultilevel"/>
    <w:tmpl w:val="DA08F69C"/>
    <w:lvl w:ilvl="0" w:tplc="CE9610A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8415D"/>
    <w:multiLevelType w:val="hybridMultilevel"/>
    <w:tmpl w:val="6B82E906"/>
    <w:lvl w:ilvl="0" w:tplc="0C7689E0">
      <w:start w:val="10"/>
      <w:numFmt w:val="bullet"/>
      <w:lvlText w:val="-"/>
      <w:lvlJc w:val="left"/>
      <w:pPr>
        <w:ind w:left="720" w:hanging="360"/>
      </w:pPr>
      <w:rPr>
        <w:rFonts w:ascii="Konstanz" w:eastAsiaTheme="minorHAnsi" w:hAnsi="Konstanz"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5"/>
  </w:num>
  <w:num w:numId="4">
    <w:abstractNumId w:val="0"/>
  </w:num>
  <w:num w:numId="5">
    <w:abstractNumId w:val="6"/>
  </w:num>
  <w:num w:numId="6">
    <w:abstractNumId w:val="13"/>
  </w:num>
  <w:num w:numId="7">
    <w:abstractNumId w:val="7"/>
  </w:num>
  <w:num w:numId="8">
    <w:abstractNumId w:val="10"/>
  </w:num>
  <w:num w:numId="9">
    <w:abstractNumId w:val="11"/>
  </w:num>
  <w:num w:numId="10">
    <w:abstractNumId w:val="14"/>
  </w:num>
  <w:num w:numId="11">
    <w:abstractNumId w:val="3"/>
  </w:num>
  <w:num w:numId="12">
    <w:abstractNumId w:val="8"/>
  </w:num>
  <w:num w:numId="13">
    <w:abstractNumId w:val="1"/>
  </w:num>
  <w:num w:numId="14">
    <w:abstractNumId w:val="12"/>
  </w:num>
  <w:num w:numId="15">
    <w:abstractNumId w:val="9"/>
  </w:num>
  <w:num w:numId="16">
    <w:abstractNumId w:val="4"/>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485C"/>
    <w:rsid w:val="003A7DEB"/>
    <w:rsid w:val="003C5E54"/>
    <w:rsid w:val="003D2F95"/>
    <w:rsid w:val="003E1AC2"/>
    <w:rsid w:val="003E32C4"/>
    <w:rsid w:val="004057F5"/>
    <w:rsid w:val="00413C3C"/>
    <w:rsid w:val="004379EA"/>
    <w:rsid w:val="00447901"/>
    <w:rsid w:val="00450FFB"/>
    <w:rsid w:val="00483248"/>
    <w:rsid w:val="00487ED1"/>
    <w:rsid w:val="004A04CF"/>
    <w:rsid w:val="004A3A54"/>
    <w:rsid w:val="004B17D6"/>
    <w:rsid w:val="004B1F6B"/>
    <w:rsid w:val="004C0EEF"/>
    <w:rsid w:val="004E1915"/>
    <w:rsid w:val="004F5A1B"/>
    <w:rsid w:val="00547D55"/>
    <w:rsid w:val="00583EBE"/>
    <w:rsid w:val="00584FFB"/>
    <w:rsid w:val="005B2A30"/>
    <w:rsid w:val="005B2ADE"/>
    <w:rsid w:val="005B41A6"/>
    <w:rsid w:val="005C6362"/>
    <w:rsid w:val="005D20A9"/>
    <w:rsid w:val="005E2204"/>
    <w:rsid w:val="0060335D"/>
    <w:rsid w:val="0061677A"/>
    <w:rsid w:val="00622F0D"/>
    <w:rsid w:val="00647231"/>
    <w:rsid w:val="0066674C"/>
    <w:rsid w:val="006C4BE4"/>
    <w:rsid w:val="006F0851"/>
    <w:rsid w:val="00734CDB"/>
    <w:rsid w:val="00771387"/>
    <w:rsid w:val="00773CF3"/>
    <w:rsid w:val="00790A83"/>
    <w:rsid w:val="00795DAF"/>
    <w:rsid w:val="007B1ACE"/>
    <w:rsid w:val="007C3BF9"/>
    <w:rsid w:val="007D738D"/>
    <w:rsid w:val="007E4A50"/>
    <w:rsid w:val="00840FD2"/>
    <w:rsid w:val="0086467D"/>
    <w:rsid w:val="00884AB5"/>
    <w:rsid w:val="009070FD"/>
    <w:rsid w:val="00914329"/>
    <w:rsid w:val="009153CC"/>
    <w:rsid w:val="009350CB"/>
    <w:rsid w:val="00972CB9"/>
    <w:rsid w:val="00984210"/>
    <w:rsid w:val="009D7F62"/>
    <w:rsid w:val="00A055E9"/>
    <w:rsid w:val="00A06297"/>
    <w:rsid w:val="00A167A7"/>
    <w:rsid w:val="00A5264A"/>
    <w:rsid w:val="00A83F94"/>
    <w:rsid w:val="00A84824"/>
    <w:rsid w:val="00A859F3"/>
    <w:rsid w:val="00A91CAD"/>
    <w:rsid w:val="00A93F62"/>
    <w:rsid w:val="00A959CE"/>
    <w:rsid w:val="00AE3FF4"/>
    <w:rsid w:val="00B0510D"/>
    <w:rsid w:val="00B16CF2"/>
    <w:rsid w:val="00B40C7F"/>
    <w:rsid w:val="00B51203"/>
    <w:rsid w:val="00B7016E"/>
    <w:rsid w:val="00B73B5D"/>
    <w:rsid w:val="00B76A58"/>
    <w:rsid w:val="00B808A7"/>
    <w:rsid w:val="00B85AB6"/>
    <w:rsid w:val="00BB411A"/>
    <w:rsid w:val="00BC068D"/>
    <w:rsid w:val="00BD5B10"/>
    <w:rsid w:val="00BD6191"/>
    <w:rsid w:val="00BE2E14"/>
    <w:rsid w:val="00BE3EEE"/>
    <w:rsid w:val="00C034FF"/>
    <w:rsid w:val="00C20B44"/>
    <w:rsid w:val="00C2587C"/>
    <w:rsid w:val="00C25C76"/>
    <w:rsid w:val="00C3142D"/>
    <w:rsid w:val="00C3319D"/>
    <w:rsid w:val="00C33420"/>
    <w:rsid w:val="00C542A1"/>
    <w:rsid w:val="00C56012"/>
    <w:rsid w:val="00C6355C"/>
    <w:rsid w:val="00C945E4"/>
    <w:rsid w:val="00CA52E8"/>
    <w:rsid w:val="00CB2C53"/>
    <w:rsid w:val="00CD13FE"/>
    <w:rsid w:val="00CE2E9B"/>
    <w:rsid w:val="00CE4F80"/>
    <w:rsid w:val="00D03C84"/>
    <w:rsid w:val="00D04C62"/>
    <w:rsid w:val="00D14BA1"/>
    <w:rsid w:val="00D22972"/>
    <w:rsid w:val="00D424AF"/>
    <w:rsid w:val="00D46B7E"/>
    <w:rsid w:val="00D5273E"/>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qFormat/>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uiPriority w:val="99"/>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character" w:styleId="Lienhypertexte">
    <w:name w:val="Hyperlink"/>
    <w:basedOn w:val="Policepardfaut"/>
    <w:uiPriority w:val="99"/>
    <w:unhideWhenUsed/>
    <w:rsid w:val="00914329"/>
    <w:rPr>
      <w:color w:val="0000FF" w:themeColor="hyperlink"/>
      <w:u w:val="single"/>
    </w:rPr>
  </w:style>
  <w:style w:type="paragraph" w:customStyle="1" w:styleId="TEXTE">
    <w:name w:val="TEXTE"/>
    <w:basedOn w:val="Normal"/>
    <w:link w:val="TEXTECar"/>
    <w:rsid w:val="00B16CF2"/>
    <w:pPr>
      <w:numPr>
        <w:ilvl w:val="4"/>
        <w:numId w:val="13"/>
      </w:numPr>
      <w:spacing w:before="200" w:after="60"/>
      <w:outlineLvl w:val="3"/>
    </w:pPr>
    <w:rPr>
      <w:rFonts w:eastAsia="Times New Roman" w:cs="Arial"/>
      <w:color w:val="333333"/>
      <w:sz w:val="20"/>
    </w:rPr>
  </w:style>
  <w:style w:type="character" w:customStyle="1" w:styleId="TEXTECar">
    <w:name w:val="TEXTE Car"/>
    <w:link w:val="TEXTE"/>
    <w:rsid w:val="00B16CF2"/>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E8A1-753D-4BD7-B3BB-3BFF6CCB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43</TotalTime>
  <Pages>7</Pages>
  <Words>2532</Words>
  <Characters>13928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4</cp:revision>
  <cp:lastPrinted>2016-08-19T14:39:00Z</cp:lastPrinted>
  <dcterms:created xsi:type="dcterms:W3CDTF">2025-11-24T14:02:00Z</dcterms:created>
  <dcterms:modified xsi:type="dcterms:W3CDTF">2025-11-25T08:13:00Z</dcterms:modified>
</cp:coreProperties>
</file>