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34" w:rsidRPr="005418E7" w:rsidRDefault="00504F34" w:rsidP="00504F34">
      <w:pPr>
        <w:spacing w:before="52" w:line="259" w:lineRule="auto"/>
        <w:ind w:left="4678" w:right="140"/>
        <w:jc w:val="both"/>
        <w:outlineLvl w:val="0"/>
        <w:rPr>
          <w:rFonts w:ascii="Calibri" w:eastAsia="Times New Roman" w:hAnsi="Calibri"/>
          <w:b/>
        </w:rPr>
      </w:pPr>
      <w:r w:rsidRPr="005418E7">
        <w:rPr>
          <w:rFonts w:ascii="Calibri" w:eastAsia="Times New Roman" w:hAnsi="Calibri"/>
          <w:b/>
          <w:noProof/>
        </w:rPr>
        <w:drawing>
          <wp:anchor distT="0" distB="0" distL="0" distR="0" simplePos="0" relativeHeight="251659264" behindDoc="0" locked="0" layoutInCell="1" allowOverlap="1" wp14:anchorId="5BA911AC" wp14:editId="0017D1C0">
            <wp:simplePos x="0" y="0"/>
            <wp:positionH relativeFrom="page">
              <wp:posOffset>704215</wp:posOffset>
            </wp:positionH>
            <wp:positionV relativeFrom="paragraph">
              <wp:posOffset>-233045</wp:posOffset>
            </wp:positionV>
            <wp:extent cx="2076447" cy="1371599"/>
            <wp:effectExtent l="0" t="0" r="0" b="0"/>
            <wp:wrapNone/>
            <wp:docPr id="1" name="image1.jpeg" descr="20111212_CDG_LOGO 1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76447" cy="1371599"/>
                    </a:xfrm>
                    <a:prstGeom prst="rect">
                      <a:avLst/>
                    </a:prstGeom>
                  </pic:spPr>
                </pic:pic>
              </a:graphicData>
            </a:graphic>
          </wp:anchor>
        </w:drawing>
      </w:r>
      <w:r>
        <w:rPr>
          <w:rFonts w:ascii="Calibri" w:eastAsia="Times New Roman" w:hAnsi="Calibri"/>
          <w:b/>
          <w:u w:val="single"/>
        </w:rPr>
        <w:t>Mission</w:t>
      </w:r>
      <w:r w:rsidRPr="005418E7">
        <w:rPr>
          <w:rFonts w:ascii="Calibri" w:eastAsia="Times New Roman" w:hAnsi="Calibri"/>
          <w:b/>
          <w:u w:val="single"/>
        </w:rPr>
        <w:t> </w:t>
      </w:r>
      <w:r>
        <w:rPr>
          <w:rFonts w:ascii="Calibri" w:eastAsia="Times New Roman" w:hAnsi="Calibri"/>
          <w:b/>
        </w:rPr>
        <w:t xml:space="preserve">: </w:t>
      </w:r>
      <w:bookmarkStart w:id="0" w:name="Service_conseil_statutaire_et_gestion_de"/>
      <w:bookmarkEnd w:id="0"/>
      <w:r>
        <w:rPr>
          <w:rFonts w:ascii="Calibri" w:eastAsia="Times New Roman" w:hAnsi="Calibri"/>
        </w:rPr>
        <w:t>I</w:t>
      </w:r>
      <w:r w:rsidRPr="00504F34">
        <w:rPr>
          <w:rFonts w:ascii="Calibri" w:eastAsia="Times New Roman" w:hAnsi="Calibri"/>
        </w:rPr>
        <w:t>nstances consultatives</w:t>
      </w:r>
      <w:r>
        <w:rPr>
          <w:rFonts w:ascii="Calibri" w:eastAsia="Times New Roman" w:hAnsi="Calibri"/>
        </w:rPr>
        <w:t xml:space="preserve"> </w:t>
      </w:r>
      <w:r w:rsidR="003D79FF">
        <w:rPr>
          <w:rFonts w:ascii="Calibri" w:eastAsia="Times New Roman" w:hAnsi="Calibri"/>
        </w:rPr>
        <w:t>et</w:t>
      </w:r>
      <w:r w:rsidR="00902B4F">
        <w:rPr>
          <w:rFonts w:ascii="Calibri" w:eastAsia="Times New Roman" w:hAnsi="Calibri"/>
        </w:rPr>
        <w:t xml:space="preserve"> dialogue </w:t>
      </w:r>
      <w:r w:rsidR="00902B4F">
        <w:rPr>
          <w:rFonts w:ascii="Calibri" w:eastAsia="Times New Roman" w:hAnsi="Calibri"/>
        </w:rPr>
        <w:tab/>
      </w:r>
      <w:r w:rsidR="00902B4F">
        <w:rPr>
          <w:rFonts w:ascii="Calibri" w:eastAsia="Times New Roman" w:hAnsi="Calibri"/>
        </w:rPr>
        <w:tab/>
      </w:r>
      <w:r w:rsidR="00902B4F">
        <w:rPr>
          <w:rFonts w:ascii="Calibri" w:eastAsia="Times New Roman" w:hAnsi="Calibri"/>
        </w:rPr>
        <w:tab/>
        <w:t>social</w:t>
      </w:r>
    </w:p>
    <w:p w:rsidR="00504F34" w:rsidRPr="00504F34" w:rsidRDefault="00504F34" w:rsidP="00504F34">
      <w:pPr>
        <w:spacing w:before="52" w:line="259" w:lineRule="auto"/>
        <w:ind w:left="4678" w:right="140"/>
        <w:jc w:val="both"/>
        <w:outlineLvl w:val="0"/>
        <w:rPr>
          <w:rFonts w:ascii="Calibri" w:eastAsia="Times New Roman" w:hAnsi="Calibri"/>
        </w:rPr>
      </w:pPr>
      <w:r w:rsidRPr="00504F34">
        <w:rPr>
          <w:rFonts w:ascii="Calibri" w:eastAsia="Times New Roman" w:hAnsi="Calibri"/>
          <w:b/>
          <w:u w:val="single"/>
        </w:rPr>
        <w:t>Téléphone</w:t>
      </w:r>
      <w:r w:rsidRPr="005418E7">
        <w:rPr>
          <w:rFonts w:ascii="Calibri" w:eastAsia="Times New Roman" w:hAnsi="Calibri"/>
          <w:b/>
        </w:rPr>
        <w:t xml:space="preserve"> : </w:t>
      </w:r>
      <w:r w:rsidRPr="00504F34">
        <w:rPr>
          <w:rFonts w:ascii="Calibri" w:eastAsia="Times New Roman" w:hAnsi="Calibri"/>
        </w:rPr>
        <w:t>04 48 79 84 41</w:t>
      </w:r>
    </w:p>
    <w:p w:rsidR="00504F34" w:rsidRPr="005418E7" w:rsidRDefault="00504F34" w:rsidP="00504F34">
      <w:pPr>
        <w:widowControl w:val="0"/>
        <w:autoSpaceDE w:val="0"/>
        <w:autoSpaceDN w:val="0"/>
        <w:spacing w:before="24" w:line="259" w:lineRule="auto"/>
        <w:ind w:left="4678" w:right="140"/>
        <w:rPr>
          <w:rFonts w:ascii="Calibri" w:hAnsi="Calibri" w:cs="Calibri"/>
          <w:lang w:val="en-US" w:eastAsia="en-US"/>
        </w:rPr>
      </w:pPr>
      <w:bookmarkStart w:id="1" w:name="Courriel_:_carrieres@cdg34.fr_;_instance"/>
      <w:bookmarkEnd w:id="1"/>
      <w:r w:rsidRPr="00504F34">
        <w:rPr>
          <w:rFonts w:ascii="Calibri" w:hAnsi="Calibri" w:cs="Calibri"/>
          <w:b/>
          <w:u w:val="single"/>
          <w:lang w:val="en-US" w:eastAsia="en-US"/>
        </w:rPr>
        <w:t>Courriel</w:t>
      </w:r>
      <w:r>
        <w:rPr>
          <w:rFonts w:ascii="Calibri" w:hAnsi="Calibri" w:cs="Calibri"/>
          <w:b/>
          <w:u w:val="single"/>
          <w:lang w:val="en-US" w:eastAsia="en-US"/>
        </w:rPr>
        <w:t xml:space="preserve"> </w:t>
      </w:r>
      <w:r>
        <w:rPr>
          <w:rFonts w:ascii="Calibri" w:hAnsi="Calibri" w:cs="Calibri"/>
          <w:b/>
          <w:lang w:val="en-US" w:eastAsia="en-US"/>
        </w:rPr>
        <w:t>:</w:t>
      </w:r>
      <w:r>
        <w:rPr>
          <w:rFonts w:ascii="Calibri" w:hAnsi="Calibri" w:cs="Calibri"/>
          <w:lang w:val="en-US" w:eastAsia="en-US"/>
        </w:rPr>
        <w:t xml:space="preserve"> </w:t>
      </w:r>
      <w:r w:rsidRPr="005418E7">
        <w:rPr>
          <w:rFonts w:ascii="Calibri" w:hAnsi="Calibri" w:cs="Calibri"/>
          <w:lang w:val="en-US" w:eastAsia="en-US"/>
        </w:rPr>
        <w:t xml:space="preserve"> </w:t>
      </w:r>
      <w:r>
        <w:rPr>
          <w:rFonts w:ascii="Calibri" w:hAnsi="Calibri" w:cs="Calibri"/>
          <w:color w:val="0563C1"/>
          <w:u w:val="single" w:color="0563C1"/>
          <w:lang w:val="en-US" w:eastAsia="en-US"/>
        </w:rPr>
        <w:t>instancesdialoguesocial</w:t>
      </w:r>
      <w:r w:rsidRPr="005418E7">
        <w:rPr>
          <w:rFonts w:ascii="Calibri" w:hAnsi="Calibri" w:cs="Calibri"/>
          <w:color w:val="0563C1"/>
          <w:u w:val="single" w:color="0563C1"/>
          <w:lang w:val="en-US" w:eastAsia="en-US"/>
        </w:rPr>
        <w:t xml:space="preserve">@cdg34.fr </w:t>
      </w:r>
    </w:p>
    <w:p w:rsidR="005418E7" w:rsidRDefault="005418E7" w:rsidP="00D43B32">
      <w:pPr>
        <w:jc w:val="center"/>
        <w:rPr>
          <w:rFonts w:cstheme="minorHAnsi"/>
          <w:sz w:val="32"/>
          <w:szCs w:val="32"/>
        </w:rPr>
      </w:pPr>
    </w:p>
    <w:p w:rsidR="005418E7" w:rsidRPr="005418E7" w:rsidRDefault="005418E7" w:rsidP="005418E7">
      <w:pPr>
        <w:widowControl w:val="0"/>
        <w:autoSpaceDE w:val="0"/>
        <w:autoSpaceDN w:val="0"/>
        <w:rPr>
          <w:rFonts w:ascii="Calibri" w:hAnsi="Calibri" w:cs="Calibri"/>
          <w:sz w:val="20"/>
          <w:lang w:val="en-US" w:eastAsia="en-US"/>
        </w:rPr>
      </w:pPr>
    </w:p>
    <w:p w:rsidR="005418E7" w:rsidRDefault="005418E7" w:rsidP="00504F34">
      <w:pPr>
        <w:pBdr>
          <w:top w:val="double" w:sz="4" w:space="1" w:color="F2B200"/>
          <w:left w:val="double" w:sz="4" w:space="4" w:color="F2B200"/>
          <w:bottom w:val="double" w:sz="4" w:space="13" w:color="F2B200"/>
          <w:right w:val="double" w:sz="4" w:space="4" w:color="F2B200"/>
        </w:pBdr>
        <w:shd w:val="clear" w:color="auto" w:fill="71ABBA"/>
        <w:ind w:left="-284" w:right="-427"/>
        <w:jc w:val="center"/>
        <w:rPr>
          <w:rFonts w:cstheme="minorHAnsi"/>
          <w:b/>
          <w:color w:val="FFFFFF"/>
        </w:rPr>
      </w:pPr>
    </w:p>
    <w:p w:rsidR="00B84658" w:rsidRPr="008020FA" w:rsidRDefault="00504F34" w:rsidP="00504F34">
      <w:pPr>
        <w:pBdr>
          <w:top w:val="double" w:sz="4" w:space="1" w:color="F2B200"/>
          <w:left w:val="double" w:sz="4" w:space="4" w:color="F2B200"/>
          <w:bottom w:val="double" w:sz="4" w:space="13" w:color="F2B200"/>
          <w:right w:val="double" w:sz="4" w:space="4" w:color="F2B200"/>
        </w:pBdr>
        <w:shd w:val="clear" w:color="auto" w:fill="71ABBA"/>
        <w:ind w:left="-284" w:right="-427"/>
        <w:jc w:val="center"/>
        <w:rPr>
          <w:rFonts w:cstheme="minorHAnsi"/>
          <w:b/>
          <w:color w:val="FFFFFF"/>
          <w:sz w:val="28"/>
          <w:szCs w:val="28"/>
        </w:rPr>
      </w:pPr>
      <w:r w:rsidRPr="00F51EDD">
        <w:rPr>
          <w:rFonts w:cstheme="minorHAnsi"/>
          <w:b/>
          <w:color w:val="FFFF00"/>
          <w:sz w:val="28"/>
          <w:szCs w:val="28"/>
          <w:u w:val="single"/>
        </w:rPr>
        <w:t>FOIRE AUX QUESTIONS</w:t>
      </w:r>
      <w:r w:rsidRPr="00F51EDD">
        <w:rPr>
          <w:rFonts w:cstheme="minorHAnsi"/>
          <w:b/>
          <w:color w:val="FFFF00"/>
          <w:sz w:val="28"/>
          <w:szCs w:val="28"/>
        </w:rPr>
        <w:t xml:space="preserve">                                                                                                                                                     </w:t>
      </w:r>
      <w:r w:rsidR="00BA3F5B">
        <w:rPr>
          <w:rFonts w:cstheme="minorHAnsi"/>
          <w:b/>
          <w:color w:val="FFFFFF"/>
          <w:sz w:val="28"/>
          <w:szCs w:val="28"/>
        </w:rPr>
        <w:t>SUR LE</w:t>
      </w:r>
      <w:r w:rsidRPr="008020FA">
        <w:rPr>
          <w:rFonts w:cstheme="minorHAnsi"/>
          <w:b/>
          <w:color w:val="FFFFFF"/>
          <w:sz w:val="28"/>
          <w:szCs w:val="28"/>
        </w:rPr>
        <w:t xml:space="preserve"> </w:t>
      </w:r>
      <w:r w:rsidR="00EC0BBD">
        <w:rPr>
          <w:rFonts w:cstheme="minorHAnsi"/>
          <w:b/>
          <w:color w:val="FFFFFF"/>
          <w:sz w:val="28"/>
          <w:szCs w:val="28"/>
        </w:rPr>
        <w:t>C</w:t>
      </w:r>
      <w:r w:rsidR="00BA3F5B">
        <w:rPr>
          <w:rFonts w:cstheme="minorHAnsi"/>
          <w:b/>
          <w:color w:val="FFFFFF"/>
          <w:sz w:val="28"/>
          <w:szCs w:val="28"/>
        </w:rPr>
        <w:t>OMITE SOCIAL TERRITORIAL</w:t>
      </w:r>
      <w:r w:rsidR="00420E31" w:rsidRPr="008020FA">
        <w:rPr>
          <w:rFonts w:cstheme="minorHAnsi"/>
          <w:b/>
          <w:color w:val="FFFFFF"/>
          <w:sz w:val="28"/>
          <w:szCs w:val="28"/>
        </w:rPr>
        <w:t xml:space="preserve"> </w:t>
      </w:r>
    </w:p>
    <w:p w:rsidR="007F4531" w:rsidRDefault="007F4531" w:rsidP="003B1971">
      <w:pPr>
        <w:rPr>
          <w:rFonts w:cstheme="minorHAnsi"/>
          <w:sz w:val="32"/>
          <w:szCs w:val="32"/>
        </w:rPr>
      </w:pPr>
    </w:p>
    <w:p w:rsidR="00060019" w:rsidRPr="0028669A" w:rsidRDefault="00060019" w:rsidP="00130ACE">
      <w:pPr>
        <w:pStyle w:val="PucesCDG34"/>
        <w:rPr>
          <w:color w:val="048B9A"/>
        </w:rPr>
      </w:pPr>
      <w:r w:rsidRPr="007A3343">
        <w:rPr>
          <w:highlight w:val="lightGray"/>
        </w:rPr>
        <w:t>Un agent spécialisé des écoles maternelles ayant son temps de travail annualisé peut-il prétendre à des jours de fractionnement ?</w:t>
      </w:r>
    </w:p>
    <w:p w:rsidR="00060019" w:rsidRPr="00060019" w:rsidRDefault="00060019" w:rsidP="00060019">
      <w:pPr>
        <w:rPr>
          <w:rFonts w:cstheme="minorHAnsi"/>
          <w:color w:val="000000"/>
          <w:sz w:val="22"/>
          <w:szCs w:val="22"/>
        </w:rPr>
      </w:pPr>
      <w:r w:rsidRPr="00060019">
        <w:rPr>
          <w:rFonts w:cstheme="minorHAnsi"/>
          <w:color w:val="048B9A"/>
          <w:sz w:val="22"/>
          <w:szCs w:val="22"/>
        </w:rPr>
        <w:br/>
      </w:r>
      <w:r w:rsidR="0028669A" w:rsidRPr="0028669A">
        <w:rPr>
          <w:rFonts w:cstheme="minorHAnsi"/>
          <w:b/>
          <w:color w:val="000000" w:themeColor="text1"/>
          <w:sz w:val="22"/>
          <w:szCs w:val="22"/>
        </w:rPr>
        <w:t>Oui</w:t>
      </w:r>
      <w:r w:rsidR="0028669A" w:rsidRPr="0028669A">
        <w:rPr>
          <w:rFonts w:cstheme="minorHAnsi"/>
          <w:color w:val="000000" w:themeColor="text1"/>
          <w:sz w:val="22"/>
          <w:szCs w:val="22"/>
        </w:rPr>
        <w:t>, r</w:t>
      </w:r>
      <w:r w:rsidRPr="0028669A">
        <w:rPr>
          <w:rFonts w:cstheme="minorHAnsi"/>
          <w:color w:val="000000" w:themeColor="text1"/>
          <w:sz w:val="22"/>
          <w:szCs w:val="22"/>
        </w:rPr>
        <w:t xml:space="preserve">ien </w:t>
      </w:r>
      <w:r w:rsidRPr="00060019">
        <w:rPr>
          <w:rFonts w:cstheme="minorHAnsi"/>
          <w:color w:val="000000"/>
          <w:sz w:val="22"/>
          <w:szCs w:val="22"/>
        </w:rPr>
        <w:t>ne les excluant du dispositif, les agents annualisés pourraient bénéficier des jours de fractionnement, sous réserve que leurs jours de congés annuels soient positionnés sur des périodes permettant d’y ouvrir droit. Dans ce cas, il conviendra de rajouter sur leur planning</w:t>
      </w:r>
      <w:r>
        <w:rPr>
          <w:rFonts w:cstheme="minorHAnsi"/>
          <w:color w:val="000000"/>
          <w:sz w:val="22"/>
          <w:szCs w:val="22"/>
        </w:rPr>
        <w:t xml:space="preserve"> </w:t>
      </w:r>
      <w:r w:rsidRPr="00060019">
        <w:rPr>
          <w:rFonts w:cstheme="minorHAnsi"/>
          <w:color w:val="000000"/>
          <w:sz w:val="22"/>
          <w:szCs w:val="22"/>
        </w:rPr>
        <w:t>annuel, les un ou deux jours de repos supplémentaires sur des journées normalement travaillées.</w:t>
      </w:r>
    </w:p>
    <w:p w:rsidR="00060019" w:rsidRDefault="00060019" w:rsidP="00060019">
      <w:pPr>
        <w:rPr>
          <w:rFonts w:eastAsia="Times New Roman" w:cstheme="minorHAnsi"/>
          <w:b/>
          <w:color w:val="191A1F"/>
          <w:sz w:val="22"/>
          <w:szCs w:val="22"/>
        </w:rPr>
      </w:pPr>
      <w:r w:rsidRPr="00FE4A24">
        <w:rPr>
          <w:rFonts w:cstheme="minorHAnsi"/>
          <w:color w:val="000000"/>
          <w:sz w:val="12"/>
          <w:szCs w:val="12"/>
        </w:rPr>
        <w:br/>
      </w:r>
      <w:r w:rsidRPr="00060019">
        <w:rPr>
          <w:rFonts w:ascii="Cambria Math" w:hAnsi="Cambria Math" w:cs="Cambria Math"/>
          <w:b/>
          <w:sz w:val="22"/>
          <w:szCs w:val="22"/>
        </w:rPr>
        <w:sym w:font="Wingdings" w:char="F0C4"/>
      </w:r>
      <w:r w:rsidRPr="00060019">
        <w:rPr>
          <w:rFonts w:cstheme="minorHAnsi"/>
          <w:color w:val="048B9A"/>
          <w:sz w:val="22"/>
          <w:szCs w:val="22"/>
        </w:rPr>
        <w:t xml:space="preserve"> </w:t>
      </w:r>
      <w:r w:rsidRPr="00060019">
        <w:rPr>
          <w:rFonts w:cstheme="minorHAnsi"/>
          <w:color w:val="000000"/>
          <w:sz w:val="22"/>
          <w:szCs w:val="22"/>
        </w:rPr>
        <w:t xml:space="preserve">Attention à bien distinguer sur les plannings les périodes de </w:t>
      </w:r>
      <w:r w:rsidRPr="00060019">
        <w:rPr>
          <w:rFonts w:cstheme="minorHAnsi"/>
          <w:b/>
          <w:bCs/>
          <w:color w:val="000000"/>
          <w:sz w:val="22"/>
          <w:szCs w:val="22"/>
        </w:rPr>
        <w:t xml:space="preserve">congés annuels </w:t>
      </w:r>
      <w:r w:rsidRPr="00060019">
        <w:rPr>
          <w:rFonts w:cstheme="minorHAnsi"/>
          <w:color w:val="000000"/>
          <w:sz w:val="22"/>
          <w:szCs w:val="22"/>
        </w:rPr>
        <w:t xml:space="preserve">(25 jours), des </w:t>
      </w:r>
      <w:r w:rsidRPr="00060019">
        <w:rPr>
          <w:rFonts w:cstheme="minorHAnsi"/>
          <w:b/>
          <w:bCs/>
          <w:color w:val="000000"/>
          <w:sz w:val="22"/>
          <w:szCs w:val="22"/>
        </w:rPr>
        <w:t xml:space="preserve">périodes non travaillées </w:t>
      </w:r>
      <w:r w:rsidRPr="00060019">
        <w:rPr>
          <w:rFonts w:cstheme="minorHAnsi"/>
          <w:color w:val="000000"/>
          <w:sz w:val="22"/>
          <w:szCs w:val="22"/>
        </w:rPr>
        <w:t>du fait de l’annualisation.</w:t>
      </w:r>
      <w:r w:rsidRPr="00060019">
        <w:rPr>
          <w:rFonts w:cstheme="minorHAnsi"/>
          <w:color w:val="000000"/>
          <w:sz w:val="22"/>
          <w:szCs w:val="22"/>
        </w:rPr>
        <w:br/>
      </w:r>
    </w:p>
    <w:p w:rsidR="007A3343" w:rsidRDefault="007A3343" w:rsidP="00060019">
      <w:pPr>
        <w:rPr>
          <w:rFonts w:eastAsia="Times New Roman" w:cstheme="minorHAnsi"/>
          <w:b/>
          <w:color w:val="191A1F"/>
          <w:sz w:val="22"/>
          <w:szCs w:val="22"/>
        </w:rPr>
      </w:pPr>
    </w:p>
    <w:p w:rsidR="00BC2313" w:rsidRDefault="00BC2313" w:rsidP="00060019">
      <w:pPr>
        <w:rPr>
          <w:rFonts w:eastAsia="Times New Roman" w:cstheme="minorHAnsi"/>
          <w:b/>
          <w:color w:val="191A1F"/>
          <w:sz w:val="22"/>
          <w:szCs w:val="22"/>
        </w:rPr>
      </w:pPr>
    </w:p>
    <w:p w:rsidR="00BC2313" w:rsidRDefault="00BC2313" w:rsidP="00130ACE">
      <w:pPr>
        <w:pStyle w:val="PucesCDG34"/>
        <w:rPr>
          <w:sz w:val="27"/>
          <w:szCs w:val="27"/>
        </w:rPr>
      </w:pPr>
      <w:r w:rsidRPr="007A3343">
        <w:rPr>
          <w:highlight w:val="lightGray"/>
        </w:rPr>
        <w:t>Le RIFSEEP, plus précisément le CIA, peut-il être versé en fonction de l’assiduité des agents ?</w:t>
      </w:r>
      <w:r w:rsidRPr="0028669A">
        <w:rPr>
          <w:sz w:val="27"/>
          <w:szCs w:val="27"/>
        </w:rPr>
        <w:t xml:space="preserve"> </w:t>
      </w:r>
    </w:p>
    <w:p w:rsidR="0028669A" w:rsidRPr="0028669A" w:rsidRDefault="0028669A" w:rsidP="00130ACE">
      <w:pPr>
        <w:pStyle w:val="PucesCDG34"/>
        <w:numPr>
          <w:ilvl w:val="0"/>
          <w:numId w:val="0"/>
        </w:numPr>
        <w:ind w:left="142"/>
      </w:pPr>
    </w:p>
    <w:p w:rsidR="00BC2313" w:rsidRPr="00027C2D" w:rsidRDefault="00BC2313" w:rsidP="00BC2313">
      <w:pPr>
        <w:pStyle w:val="NormalWeb"/>
        <w:shd w:val="clear" w:color="auto" w:fill="FFFFFF"/>
        <w:spacing w:before="0" w:beforeAutospacing="0" w:after="180" w:afterAutospacing="0"/>
        <w:rPr>
          <w:rFonts w:asciiTheme="minorHAnsi" w:hAnsiTheme="minorHAnsi" w:cstheme="minorHAnsi"/>
          <w:color w:val="000000" w:themeColor="text1"/>
          <w:sz w:val="22"/>
          <w:szCs w:val="22"/>
        </w:rPr>
      </w:pPr>
      <w:r w:rsidRPr="00027C2D">
        <w:rPr>
          <w:rFonts w:asciiTheme="minorHAnsi" w:hAnsiTheme="minorHAnsi" w:cstheme="minorHAnsi"/>
          <w:b/>
          <w:color w:val="000000" w:themeColor="text1"/>
          <w:sz w:val="22"/>
          <w:szCs w:val="22"/>
        </w:rPr>
        <w:t>Non</w:t>
      </w:r>
      <w:r w:rsidRPr="00027C2D">
        <w:rPr>
          <w:rFonts w:asciiTheme="minorHAnsi" w:hAnsiTheme="minorHAnsi" w:cstheme="minorHAnsi"/>
          <w:color w:val="000000" w:themeColor="text1"/>
          <w:sz w:val="22"/>
          <w:szCs w:val="22"/>
        </w:rPr>
        <w:t>, a répondu la cour administrative d’appel de Versailles dans un arrêt </w:t>
      </w:r>
      <w:r w:rsidRPr="00027C2D">
        <w:rPr>
          <w:rStyle w:val="Accentuation"/>
          <w:rFonts w:asciiTheme="minorHAnsi" w:hAnsiTheme="minorHAnsi" w:cstheme="minorHAnsi"/>
          <w:color w:val="000000" w:themeColor="text1"/>
          <w:sz w:val="22"/>
          <w:szCs w:val="22"/>
        </w:rPr>
        <w:t>Préfet du Val d’Oise c/ commune d’Argenteuil</w:t>
      </w:r>
      <w:r w:rsidRPr="00027C2D">
        <w:rPr>
          <w:rFonts w:asciiTheme="minorHAnsi" w:hAnsiTheme="minorHAnsi" w:cstheme="minorHAnsi"/>
          <w:color w:val="000000" w:themeColor="text1"/>
          <w:sz w:val="22"/>
          <w:szCs w:val="22"/>
        </w:rPr>
        <w:t> en date du 31 août 2020 au motif que cela est contraire au principe de parité (req</w:t>
      </w:r>
      <w:r w:rsidR="00B02F13" w:rsidRPr="00027C2D">
        <w:rPr>
          <w:rFonts w:asciiTheme="minorHAnsi" w:hAnsiTheme="minorHAnsi" w:cstheme="minorHAnsi"/>
          <w:color w:val="000000" w:themeColor="text1"/>
          <w:sz w:val="22"/>
          <w:szCs w:val="22"/>
        </w:rPr>
        <w:t>uête</w:t>
      </w:r>
      <w:r w:rsidRPr="00027C2D">
        <w:rPr>
          <w:rFonts w:asciiTheme="minorHAnsi" w:hAnsiTheme="minorHAnsi" w:cstheme="minorHAnsi"/>
          <w:color w:val="000000" w:themeColor="text1"/>
          <w:sz w:val="22"/>
          <w:szCs w:val="22"/>
        </w:rPr>
        <w:t xml:space="preserve"> n° 18VE04033).</w:t>
      </w:r>
    </w:p>
    <w:p w:rsidR="00BC2313" w:rsidRPr="00027C2D" w:rsidRDefault="00BC2313" w:rsidP="00FE4A2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27C2D">
        <w:rPr>
          <w:rFonts w:asciiTheme="minorHAnsi" w:hAnsiTheme="minorHAnsi" w:cstheme="minorHAnsi"/>
          <w:color w:val="000000" w:themeColor="text1"/>
          <w:sz w:val="22"/>
          <w:szCs w:val="22"/>
        </w:rPr>
        <w:t>En l’espèce, par la délibération du 27 mars 2018 modifiant la délibération du 19 décembre 2017, le conseil municipal d’Argenteuil a instauré un régime indemnitaire tenant compte des fonctions, des sujétions, de l’expertise et de l’engagement professionnel (RIFSEEP) des agents de la commune comportant, d’une part, une indemnité de fonction, de sujétions et d’expertise relative aux sujétions spéciales, au degré d’exposition aux risques et aux niveaux de qualification, d’expertise, de technicité, de qualification et d’expérience et, d’autre part, un complément indemnitaire annuel tenant compte notamment de la réalisation des objectifs, des qualités relationnelles, de la capacité d’encadrement et de la disponibilité et de l’adaptabilité.</w:t>
      </w:r>
    </w:p>
    <w:p w:rsidR="00BC2313" w:rsidRPr="00027C2D" w:rsidRDefault="00BC2313" w:rsidP="00FE4A2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27C2D">
        <w:rPr>
          <w:rFonts w:asciiTheme="minorHAnsi" w:hAnsiTheme="minorHAnsi" w:cstheme="minorHAnsi"/>
          <w:color w:val="000000" w:themeColor="text1"/>
          <w:sz w:val="22"/>
          <w:szCs w:val="22"/>
        </w:rPr>
        <w:t>L’article 4 de la délibération modifiée relatif au complément indemnitaire prévoyait en outre que « </w:t>
      </w:r>
      <w:r w:rsidRPr="00027C2D">
        <w:rPr>
          <w:rStyle w:val="Accentuation"/>
          <w:rFonts w:asciiTheme="minorHAnsi" w:hAnsiTheme="minorHAnsi" w:cstheme="minorHAnsi"/>
          <w:color w:val="000000" w:themeColor="text1"/>
          <w:sz w:val="22"/>
          <w:szCs w:val="22"/>
        </w:rPr>
        <w:t>dans le respect des plafonds indiqués à l’article, une part annuelle du complément indemnitaire d’un montant maximal de 500 euros bruts (…) sera dédiée à la valorisation de l’assiduité</w:t>
      </w:r>
      <w:r w:rsidRPr="00027C2D">
        <w:rPr>
          <w:rFonts w:asciiTheme="minorHAnsi" w:hAnsiTheme="minorHAnsi" w:cstheme="minorHAnsi"/>
          <w:color w:val="000000" w:themeColor="text1"/>
          <w:sz w:val="22"/>
          <w:szCs w:val="22"/>
        </w:rPr>
        <w:t> ». Les agents ne comptant aucune absence se voyait ainsi attribuer 100% de cette somme, ceux qui comptaient une journées d’absence, 75%, ceux qui comptaient deux journée d’absence, 50% et ceux qui comptaient trois journées d’absence, 25%, toute absence supérieure à trois jours entraînant la suppression du versement de cette part du complément indemnitaire.</w:t>
      </w:r>
    </w:p>
    <w:p w:rsidR="00BC2313" w:rsidRPr="00027C2D" w:rsidRDefault="00BC2313" w:rsidP="00FE4A2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27C2D">
        <w:rPr>
          <w:rFonts w:asciiTheme="minorHAnsi" w:hAnsiTheme="minorHAnsi" w:cstheme="minorHAnsi"/>
          <w:color w:val="000000" w:themeColor="text1"/>
          <w:sz w:val="22"/>
          <w:szCs w:val="22"/>
        </w:rPr>
        <w:t>Or, après avoir rappelé que le régime indemnitaire des agents territoriaux est soumis au principe de parité avec celui des agents de l’État en vertu de l’article 88 de la loi du 26 janvier 1984 et de l’article 1</w:t>
      </w:r>
      <w:r w:rsidRPr="00027C2D">
        <w:rPr>
          <w:rFonts w:asciiTheme="minorHAnsi" w:hAnsiTheme="minorHAnsi" w:cstheme="minorHAnsi"/>
          <w:color w:val="000000" w:themeColor="text1"/>
          <w:sz w:val="22"/>
          <w:szCs w:val="22"/>
          <w:vertAlign w:val="superscript"/>
        </w:rPr>
        <w:t>er</w:t>
      </w:r>
      <w:r w:rsidRPr="00027C2D">
        <w:rPr>
          <w:rFonts w:asciiTheme="minorHAnsi" w:hAnsiTheme="minorHAnsi" w:cstheme="minorHAnsi"/>
          <w:color w:val="000000" w:themeColor="text1"/>
          <w:sz w:val="22"/>
          <w:szCs w:val="22"/>
        </w:rPr>
        <w:t> du décret n° 91-875 du 6 septembre 1991, la cour considère qu’ « </w:t>
      </w:r>
      <w:r w:rsidRPr="00027C2D">
        <w:rPr>
          <w:rStyle w:val="Accentuation"/>
          <w:rFonts w:asciiTheme="minorHAnsi" w:hAnsiTheme="minorHAnsi" w:cstheme="minorHAnsi"/>
          <w:color w:val="000000" w:themeColor="text1"/>
          <w:sz w:val="22"/>
          <w:szCs w:val="22"/>
        </w:rPr>
        <w:t xml:space="preserve">en adoptant ce critère d’absence, la commune d’Argenteuil doit être regardée comme ayant instauré une prime dont ne bénéficient pas les fonctionnaires de l’État et méconnu, de ce fait, les dispositions précitées de l’article 1er du décret susvisé du 6 septembre 1991. Le préfet du Val-d’Oise est, par suite, fondé à soutenir que l’article 4 de la délibération du conseil </w:t>
      </w:r>
      <w:r w:rsidRPr="00027C2D">
        <w:rPr>
          <w:rStyle w:val="Accentuation"/>
          <w:rFonts w:asciiTheme="minorHAnsi" w:hAnsiTheme="minorHAnsi" w:cstheme="minorHAnsi"/>
          <w:color w:val="000000" w:themeColor="text1"/>
          <w:sz w:val="22"/>
          <w:szCs w:val="22"/>
        </w:rPr>
        <w:lastRenderedPageBreak/>
        <w:t>municipal d’Argenteuil en date du 27 mars 2018 est illégal et que c’est à tort que, par le jugement attaqué, le Tribunal administratif de Cergy-Pontoise a rejeté sa demande et à demander l’annulation de la délibération litigieuse. </w:t>
      </w:r>
      <w:r w:rsidRPr="00027C2D">
        <w:rPr>
          <w:rFonts w:asciiTheme="minorHAnsi" w:hAnsiTheme="minorHAnsi" w:cstheme="minorHAnsi"/>
          <w:color w:val="000000" w:themeColor="text1"/>
          <w:sz w:val="22"/>
          <w:szCs w:val="22"/>
        </w:rPr>
        <w:t>»</w:t>
      </w:r>
    </w:p>
    <w:p w:rsidR="00BC2313" w:rsidRDefault="00BC2313" w:rsidP="00BC2313">
      <w:pPr>
        <w:pStyle w:val="NormalWeb"/>
        <w:shd w:val="clear" w:color="auto" w:fill="FFFFFF"/>
        <w:spacing w:before="0" w:beforeAutospacing="0" w:after="180" w:afterAutospacing="0"/>
        <w:rPr>
          <w:rFonts w:asciiTheme="minorHAnsi" w:hAnsiTheme="minorHAnsi" w:cstheme="minorHAnsi"/>
          <w:color w:val="3D3E40"/>
          <w:sz w:val="22"/>
          <w:szCs w:val="22"/>
        </w:rPr>
      </w:pPr>
    </w:p>
    <w:p w:rsidR="00BC2313" w:rsidRDefault="00BC2313" w:rsidP="00130ACE">
      <w:pPr>
        <w:pStyle w:val="PucesCDG34"/>
        <w:rPr>
          <w:color w:val="000000"/>
        </w:rPr>
      </w:pPr>
      <w:r w:rsidRPr="007A3343">
        <w:rPr>
          <w:highlight w:val="lightGray"/>
        </w:rPr>
        <w:t>Maintien du droit à IFSE au profit des agents placés en congé de longue maladie ou de longue durée ?</w:t>
      </w:r>
    </w:p>
    <w:p w:rsidR="007A3343" w:rsidRDefault="00BC2313" w:rsidP="00BC2313">
      <w:pPr>
        <w:rPr>
          <w:rFonts w:cstheme="minorHAnsi"/>
          <w:color w:val="000000"/>
          <w:sz w:val="22"/>
          <w:szCs w:val="22"/>
        </w:rPr>
      </w:pPr>
      <w:r w:rsidRPr="00BC2313">
        <w:rPr>
          <w:rFonts w:cstheme="minorHAnsi"/>
          <w:color w:val="000000"/>
          <w:sz w:val="22"/>
          <w:szCs w:val="22"/>
        </w:rPr>
        <w:br/>
        <w:t>En application du principe de parité, le régime indemnitaire fixé par les</w:t>
      </w:r>
      <w:r>
        <w:rPr>
          <w:rFonts w:cstheme="minorHAnsi"/>
          <w:color w:val="000000"/>
          <w:sz w:val="22"/>
          <w:szCs w:val="22"/>
        </w:rPr>
        <w:t xml:space="preserve"> </w:t>
      </w:r>
      <w:r w:rsidRPr="00BC2313">
        <w:rPr>
          <w:rFonts w:cstheme="minorHAnsi"/>
          <w:color w:val="000000"/>
          <w:sz w:val="22"/>
          <w:szCs w:val="22"/>
        </w:rPr>
        <w:t>collectivités territoriales et les établissements publics au profit des</w:t>
      </w:r>
      <w:r>
        <w:rPr>
          <w:rFonts w:cstheme="minorHAnsi"/>
          <w:color w:val="000000"/>
          <w:sz w:val="22"/>
          <w:szCs w:val="22"/>
        </w:rPr>
        <w:t xml:space="preserve"> </w:t>
      </w:r>
      <w:r w:rsidRPr="00BC2313">
        <w:rPr>
          <w:rFonts w:cstheme="minorHAnsi"/>
          <w:color w:val="000000"/>
          <w:sz w:val="22"/>
          <w:szCs w:val="22"/>
        </w:rPr>
        <w:t>fonctionnaires territoriaux ne doit pas être plus favorable que celui dont</w:t>
      </w:r>
      <w:r>
        <w:rPr>
          <w:rFonts w:cstheme="minorHAnsi"/>
          <w:color w:val="000000"/>
          <w:sz w:val="22"/>
          <w:szCs w:val="22"/>
        </w:rPr>
        <w:t xml:space="preserve"> </w:t>
      </w:r>
      <w:r w:rsidRPr="00BC2313">
        <w:rPr>
          <w:rFonts w:cstheme="minorHAnsi"/>
          <w:color w:val="000000"/>
          <w:sz w:val="22"/>
          <w:szCs w:val="22"/>
        </w:rPr>
        <w:t>bénéficient les fonctionnaires de l'Etat exerçant des fonctions</w:t>
      </w:r>
      <w:r>
        <w:rPr>
          <w:rFonts w:cstheme="minorHAnsi"/>
          <w:color w:val="000000"/>
          <w:sz w:val="22"/>
          <w:szCs w:val="22"/>
        </w:rPr>
        <w:t xml:space="preserve"> </w:t>
      </w:r>
      <w:r w:rsidRPr="00BC2313">
        <w:rPr>
          <w:rFonts w:cstheme="minorHAnsi"/>
          <w:color w:val="000000"/>
          <w:sz w:val="22"/>
          <w:szCs w:val="22"/>
        </w:rPr>
        <w:t xml:space="preserve">équivalentes </w:t>
      </w:r>
      <w:r w:rsidRPr="00BC2313">
        <w:rPr>
          <w:rFonts w:cstheme="minorHAnsi"/>
          <w:i/>
          <w:iCs/>
          <w:color w:val="000000"/>
          <w:sz w:val="22"/>
          <w:szCs w:val="22"/>
        </w:rPr>
        <w:t>(article 1er du décret du septembre 1991)</w:t>
      </w:r>
      <w:r w:rsidRPr="00BC2313">
        <w:rPr>
          <w:rFonts w:cstheme="minorHAnsi"/>
          <w:color w:val="000000"/>
          <w:sz w:val="22"/>
          <w:szCs w:val="22"/>
        </w:rPr>
        <w:t>.</w:t>
      </w:r>
    </w:p>
    <w:p w:rsidR="007A3343" w:rsidRDefault="00BC2313" w:rsidP="00BC2313">
      <w:pPr>
        <w:rPr>
          <w:rFonts w:cstheme="minorHAnsi"/>
          <w:color w:val="000000"/>
          <w:sz w:val="22"/>
          <w:szCs w:val="22"/>
        </w:rPr>
      </w:pPr>
      <w:r w:rsidRPr="00BC2313">
        <w:rPr>
          <w:rFonts w:cstheme="minorHAnsi"/>
          <w:color w:val="000000"/>
          <w:sz w:val="22"/>
          <w:szCs w:val="22"/>
        </w:rPr>
        <w:t>En outre, si les collectivités sont limitées par les plafonds applicables</w:t>
      </w:r>
      <w:r>
        <w:rPr>
          <w:rFonts w:cstheme="minorHAnsi"/>
          <w:color w:val="000000"/>
          <w:sz w:val="22"/>
          <w:szCs w:val="22"/>
        </w:rPr>
        <w:t xml:space="preserve"> </w:t>
      </w:r>
      <w:r w:rsidRPr="00BC2313">
        <w:rPr>
          <w:rFonts w:cstheme="minorHAnsi"/>
          <w:color w:val="000000"/>
          <w:sz w:val="22"/>
          <w:szCs w:val="22"/>
        </w:rPr>
        <w:t>à l’Etat pour chaque part du RIFSEEP (IFSE et CIA), elles sont libres</w:t>
      </w:r>
      <w:r>
        <w:rPr>
          <w:rFonts w:cstheme="minorHAnsi"/>
          <w:color w:val="000000"/>
          <w:sz w:val="22"/>
          <w:szCs w:val="22"/>
        </w:rPr>
        <w:t xml:space="preserve"> </w:t>
      </w:r>
      <w:r w:rsidRPr="00BC2313">
        <w:rPr>
          <w:rFonts w:cstheme="minorHAnsi"/>
          <w:color w:val="000000"/>
          <w:sz w:val="22"/>
          <w:szCs w:val="22"/>
        </w:rPr>
        <w:t>de déterminer les critères d’attribution des primes correspondant à</w:t>
      </w:r>
      <w:r>
        <w:rPr>
          <w:rFonts w:cstheme="minorHAnsi"/>
          <w:color w:val="000000"/>
          <w:sz w:val="22"/>
          <w:szCs w:val="22"/>
        </w:rPr>
        <w:t xml:space="preserve"> </w:t>
      </w:r>
      <w:r w:rsidRPr="00BC2313">
        <w:rPr>
          <w:rFonts w:cstheme="minorHAnsi"/>
          <w:color w:val="000000"/>
          <w:sz w:val="22"/>
          <w:szCs w:val="22"/>
        </w:rPr>
        <w:t>chacune de ces parts.</w:t>
      </w:r>
    </w:p>
    <w:p w:rsidR="007A3343" w:rsidRDefault="00BC2313" w:rsidP="00BC2313">
      <w:pPr>
        <w:rPr>
          <w:rFonts w:cstheme="minorHAnsi"/>
          <w:color w:val="000000"/>
          <w:sz w:val="22"/>
          <w:szCs w:val="22"/>
        </w:rPr>
      </w:pPr>
      <w:r w:rsidRPr="00BC2313">
        <w:rPr>
          <w:rFonts w:cstheme="minorHAnsi"/>
          <w:color w:val="000000"/>
          <w:sz w:val="22"/>
          <w:szCs w:val="22"/>
        </w:rPr>
        <w:br/>
        <w:t>En l’espèce, une délibération d’un conseil municipal prévoit le maintien</w:t>
      </w:r>
      <w:r>
        <w:rPr>
          <w:rFonts w:cstheme="minorHAnsi"/>
          <w:color w:val="000000"/>
          <w:sz w:val="22"/>
          <w:szCs w:val="22"/>
        </w:rPr>
        <w:t xml:space="preserve"> </w:t>
      </w:r>
      <w:r w:rsidRPr="00BC2313">
        <w:rPr>
          <w:rFonts w:cstheme="minorHAnsi"/>
          <w:color w:val="000000"/>
          <w:sz w:val="22"/>
          <w:szCs w:val="22"/>
        </w:rPr>
        <w:t>du versement intégral de l’IFSE aux fonctionnaires placés en congé de</w:t>
      </w:r>
      <w:r>
        <w:rPr>
          <w:rFonts w:cstheme="minorHAnsi"/>
          <w:color w:val="000000"/>
          <w:sz w:val="22"/>
          <w:szCs w:val="22"/>
        </w:rPr>
        <w:t xml:space="preserve"> </w:t>
      </w:r>
      <w:r w:rsidRPr="00BC2313">
        <w:rPr>
          <w:rFonts w:cstheme="minorHAnsi"/>
          <w:color w:val="000000"/>
          <w:sz w:val="22"/>
          <w:szCs w:val="22"/>
        </w:rPr>
        <w:t>longue durée ou en congé de longue maladie.</w:t>
      </w:r>
    </w:p>
    <w:p w:rsidR="007A3343" w:rsidRDefault="00BC2313" w:rsidP="00BC2313">
      <w:pPr>
        <w:rPr>
          <w:rFonts w:cstheme="minorHAnsi"/>
          <w:color w:val="000000"/>
          <w:sz w:val="22"/>
          <w:szCs w:val="22"/>
        </w:rPr>
      </w:pPr>
      <w:r w:rsidRPr="00BC2313">
        <w:rPr>
          <w:rFonts w:cstheme="minorHAnsi"/>
          <w:color w:val="000000"/>
          <w:sz w:val="22"/>
          <w:szCs w:val="22"/>
        </w:rPr>
        <w:t>Saisie par la préfecture, le juge administratif estime que si le maintien</w:t>
      </w:r>
      <w:r>
        <w:rPr>
          <w:rFonts w:cstheme="minorHAnsi"/>
          <w:color w:val="000000"/>
          <w:sz w:val="22"/>
          <w:szCs w:val="22"/>
        </w:rPr>
        <w:t xml:space="preserve"> </w:t>
      </w:r>
      <w:r w:rsidRPr="00BC2313">
        <w:rPr>
          <w:rFonts w:cstheme="minorHAnsi"/>
          <w:color w:val="000000"/>
          <w:sz w:val="22"/>
          <w:szCs w:val="22"/>
        </w:rPr>
        <w:t>de l’IFSE au profit d’un agent en congé longue maladie ou longue</w:t>
      </w:r>
      <w:r>
        <w:rPr>
          <w:rFonts w:cstheme="minorHAnsi"/>
          <w:color w:val="000000"/>
          <w:sz w:val="22"/>
          <w:szCs w:val="22"/>
        </w:rPr>
        <w:t xml:space="preserve"> </w:t>
      </w:r>
      <w:r w:rsidRPr="00BC2313">
        <w:rPr>
          <w:rFonts w:cstheme="minorHAnsi"/>
          <w:color w:val="000000"/>
          <w:sz w:val="22"/>
          <w:szCs w:val="22"/>
        </w:rPr>
        <w:t>durée est plus avantageux que ce dont b</w:t>
      </w:r>
      <w:r w:rsidR="007A3343">
        <w:rPr>
          <w:rFonts w:cstheme="minorHAnsi"/>
          <w:color w:val="000000"/>
          <w:sz w:val="22"/>
          <w:szCs w:val="22"/>
        </w:rPr>
        <w:t>énéficient les agents de l’Etat</w:t>
      </w:r>
      <w:proofErr w:type="gramStart"/>
      <w:r w:rsidR="007A3343">
        <w:rPr>
          <w:rFonts w:cstheme="minorHAnsi"/>
          <w:color w:val="000000"/>
          <w:sz w:val="22"/>
          <w:szCs w:val="22"/>
        </w:rPr>
        <w:t>,</w:t>
      </w:r>
      <w:proofErr w:type="gramEnd"/>
      <w:r w:rsidRPr="00BC2313">
        <w:rPr>
          <w:rFonts w:cstheme="minorHAnsi"/>
          <w:color w:val="000000"/>
          <w:sz w:val="22"/>
          <w:szCs w:val="22"/>
        </w:rPr>
        <w:br/>
        <w:t>cela ne signifie pas pour autant que la somme de la part IFSE</w:t>
      </w:r>
      <w:r>
        <w:rPr>
          <w:rFonts w:cstheme="minorHAnsi"/>
          <w:color w:val="000000"/>
          <w:sz w:val="22"/>
          <w:szCs w:val="22"/>
        </w:rPr>
        <w:t xml:space="preserve"> </w:t>
      </w:r>
      <w:r w:rsidRPr="00BC2313">
        <w:rPr>
          <w:rFonts w:cstheme="minorHAnsi"/>
          <w:color w:val="000000"/>
          <w:sz w:val="22"/>
          <w:szCs w:val="22"/>
        </w:rPr>
        <w:t>dépasserait le plafond applicable aux agents de l’Etat. En outre, ce</w:t>
      </w:r>
      <w:r>
        <w:rPr>
          <w:rFonts w:cstheme="minorHAnsi"/>
          <w:color w:val="000000"/>
          <w:sz w:val="22"/>
          <w:szCs w:val="22"/>
        </w:rPr>
        <w:t xml:space="preserve"> </w:t>
      </w:r>
      <w:r w:rsidRPr="00BC2313">
        <w:rPr>
          <w:rFonts w:cstheme="minorHAnsi"/>
          <w:color w:val="000000"/>
          <w:sz w:val="22"/>
          <w:szCs w:val="22"/>
        </w:rPr>
        <w:t>régime indemnitaire ne méconnaît pas le principe de parité.</w:t>
      </w:r>
    </w:p>
    <w:p w:rsidR="00BC2313" w:rsidRDefault="00BC2313" w:rsidP="00BC2313">
      <w:pPr>
        <w:rPr>
          <w:rFonts w:cstheme="minorHAnsi"/>
          <w:i/>
          <w:iCs/>
          <w:color w:val="000000"/>
          <w:sz w:val="22"/>
          <w:szCs w:val="22"/>
        </w:rPr>
      </w:pPr>
      <w:r w:rsidRPr="00BC2313">
        <w:rPr>
          <w:rFonts w:cstheme="minorHAnsi"/>
          <w:color w:val="000000"/>
          <w:sz w:val="22"/>
          <w:szCs w:val="22"/>
        </w:rPr>
        <w:br/>
      </w:r>
      <w:r w:rsidRPr="007A3343">
        <w:rPr>
          <w:rFonts w:cstheme="minorHAnsi"/>
          <w:b/>
          <w:i/>
          <w:iCs/>
          <w:color w:val="000000"/>
          <w:sz w:val="22"/>
          <w:szCs w:val="22"/>
          <w:u w:val="single"/>
        </w:rPr>
        <w:t>N.B</w:t>
      </w:r>
      <w:r w:rsidRPr="00BC2313">
        <w:rPr>
          <w:rFonts w:cstheme="minorHAnsi"/>
          <w:i/>
          <w:iCs/>
          <w:color w:val="000000"/>
          <w:sz w:val="22"/>
          <w:szCs w:val="22"/>
        </w:rPr>
        <w:t xml:space="preserve"> : Face à cette approche plus libérale du principe de parité retenue</w:t>
      </w:r>
      <w:r>
        <w:rPr>
          <w:rFonts w:cstheme="minorHAnsi"/>
          <w:i/>
          <w:iCs/>
          <w:color w:val="000000"/>
          <w:sz w:val="22"/>
          <w:szCs w:val="22"/>
        </w:rPr>
        <w:t xml:space="preserve"> </w:t>
      </w:r>
      <w:r w:rsidRPr="00BC2313">
        <w:rPr>
          <w:rFonts w:cstheme="minorHAnsi"/>
          <w:i/>
          <w:iCs/>
          <w:color w:val="000000"/>
          <w:sz w:val="22"/>
          <w:szCs w:val="22"/>
        </w:rPr>
        <w:t>par la CAA de Nancy, le ministère de la Cohésion des territoires et des</w:t>
      </w:r>
      <w:r>
        <w:rPr>
          <w:rFonts w:cstheme="minorHAnsi"/>
          <w:i/>
          <w:iCs/>
          <w:color w:val="000000"/>
          <w:sz w:val="22"/>
          <w:szCs w:val="22"/>
        </w:rPr>
        <w:t xml:space="preserve"> </w:t>
      </w:r>
      <w:r w:rsidRPr="00BC2313">
        <w:rPr>
          <w:rFonts w:cstheme="minorHAnsi"/>
          <w:i/>
          <w:iCs/>
          <w:color w:val="000000"/>
          <w:sz w:val="22"/>
          <w:szCs w:val="22"/>
        </w:rPr>
        <w:t>Relations avec les collectivités conteste cette décision et décide de se</w:t>
      </w:r>
      <w:r>
        <w:rPr>
          <w:rFonts w:cstheme="minorHAnsi"/>
          <w:i/>
          <w:iCs/>
          <w:color w:val="000000"/>
          <w:sz w:val="22"/>
          <w:szCs w:val="22"/>
        </w:rPr>
        <w:t xml:space="preserve"> </w:t>
      </w:r>
      <w:r w:rsidRPr="00BC2313">
        <w:rPr>
          <w:rFonts w:cstheme="minorHAnsi"/>
          <w:i/>
          <w:iCs/>
          <w:color w:val="000000"/>
          <w:sz w:val="22"/>
          <w:szCs w:val="22"/>
        </w:rPr>
        <w:t>pourvoir en cassation.</w:t>
      </w:r>
    </w:p>
    <w:p w:rsidR="00BC2313" w:rsidRDefault="00BC2313" w:rsidP="00BC2313">
      <w:pPr>
        <w:rPr>
          <w:rFonts w:cstheme="minorHAnsi"/>
          <w:i/>
          <w:color w:val="000000" w:themeColor="text1"/>
          <w:sz w:val="22"/>
          <w:szCs w:val="22"/>
        </w:rPr>
      </w:pPr>
      <w:r w:rsidRPr="00BC2313">
        <w:rPr>
          <w:rFonts w:cstheme="minorHAnsi"/>
          <w:i/>
          <w:iCs/>
          <w:color w:val="000000"/>
          <w:sz w:val="22"/>
          <w:szCs w:val="22"/>
        </w:rPr>
        <w:br/>
      </w:r>
      <w:r w:rsidR="007A3343" w:rsidRPr="007A3343">
        <w:rPr>
          <w:rFonts w:cstheme="minorHAnsi"/>
          <w:b/>
          <w:color w:val="000000"/>
          <w:sz w:val="22"/>
          <w:szCs w:val="22"/>
        </w:rPr>
        <w:sym w:font="Wingdings" w:char="F0C4"/>
      </w:r>
      <w:r w:rsidR="007A3343">
        <w:rPr>
          <w:rFonts w:cstheme="minorHAnsi"/>
          <w:color w:val="000000"/>
          <w:sz w:val="22"/>
          <w:szCs w:val="22"/>
        </w:rPr>
        <w:t xml:space="preserve"> </w:t>
      </w:r>
      <w:r w:rsidRPr="007A3343">
        <w:rPr>
          <w:rFonts w:cstheme="minorHAnsi"/>
          <w:i/>
          <w:color w:val="000000" w:themeColor="text1"/>
          <w:sz w:val="22"/>
          <w:szCs w:val="22"/>
        </w:rPr>
        <w:t>CAA de Nancy, 17 novembre 2020, n°19NC00326</w:t>
      </w:r>
    </w:p>
    <w:p w:rsidR="000136E2" w:rsidRPr="00BC2313" w:rsidRDefault="000136E2" w:rsidP="00BC2313">
      <w:pPr>
        <w:rPr>
          <w:rFonts w:cstheme="minorHAnsi"/>
          <w:sz w:val="22"/>
          <w:szCs w:val="22"/>
        </w:rPr>
      </w:pPr>
      <w:r w:rsidRPr="007A3343">
        <w:rPr>
          <w:rFonts w:cstheme="minorHAnsi"/>
          <w:b/>
          <w:color w:val="000000"/>
          <w:sz w:val="22"/>
          <w:szCs w:val="22"/>
        </w:rPr>
        <w:sym w:font="Wingdings" w:char="F0C4"/>
      </w:r>
      <w:r>
        <w:rPr>
          <w:rFonts w:cstheme="minorHAnsi"/>
          <w:b/>
          <w:color w:val="000000"/>
          <w:sz w:val="22"/>
          <w:szCs w:val="22"/>
        </w:rPr>
        <w:t xml:space="preserve"> </w:t>
      </w:r>
      <w:r w:rsidRPr="000136E2">
        <w:rPr>
          <w:rFonts w:cstheme="minorHAnsi"/>
          <w:i/>
          <w:color w:val="000000"/>
          <w:sz w:val="22"/>
          <w:szCs w:val="22"/>
        </w:rPr>
        <w:t>CAA de Douai, n°20DA01359 du 14 octobre 2021</w:t>
      </w:r>
      <w:r>
        <w:rPr>
          <w:rFonts w:cstheme="minorHAnsi"/>
          <w:b/>
          <w:color w:val="000000"/>
          <w:sz w:val="22"/>
          <w:szCs w:val="22"/>
        </w:rPr>
        <w:t xml:space="preserve"> </w:t>
      </w:r>
    </w:p>
    <w:p w:rsidR="00BC2313" w:rsidRDefault="00BC2313" w:rsidP="00BC2313">
      <w:pPr>
        <w:pStyle w:val="NormalWeb"/>
        <w:shd w:val="clear" w:color="auto" w:fill="FFFFFF"/>
        <w:spacing w:before="0" w:beforeAutospacing="0" w:after="180" w:afterAutospacing="0"/>
        <w:rPr>
          <w:rFonts w:asciiTheme="minorHAnsi" w:hAnsiTheme="minorHAnsi" w:cstheme="minorHAnsi"/>
          <w:color w:val="3D3E40"/>
          <w:sz w:val="22"/>
          <w:szCs w:val="22"/>
        </w:rPr>
      </w:pPr>
    </w:p>
    <w:p w:rsidR="0017177D" w:rsidRPr="00130ACE" w:rsidRDefault="0017177D" w:rsidP="00130ACE">
      <w:pPr>
        <w:pStyle w:val="PucesCDG34"/>
      </w:pPr>
      <w:r w:rsidRPr="00130ACE">
        <w:rPr>
          <w:highlight w:val="lightGray"/>
        </w:rPr>
        <w:t xml:space="preserve">Un représentant du personnel au </w:t>
      </w:r>
      <w:r w:rsidR="00675FCB">
        <w:rPr>
          <w:highlight w:val="lightGray"/>
        </w:rPr>
        <w:t>comité social territorial</w:t>
      </w:r>
      <w:r w:rsidRPr="00130ACE">
        <w:rPr>
          <w:highlight w:val="lightGray"/>
        </w:rPr>
        <w:t xml:space="preserve"> et </w:t>
      </w:r>
      <w:r w:rsidR="00675FCB">
        <w:rPr>
          <w:highlight w:val="lightGray"/>
        </w:rPr>
        <w:t>à la F3SCT</w:t>
      </w:r>
      <w:r w:rsidRPr="00130ACE">
        <w:rPr>
          <w:highlight w:val="lightGray"/>
        </w:rPr>
        <w:t xml:space="preserve"> qui siège à une réunion de ces instances </w:t>
      </w:r>
      <w:r w:rsidRPr="00130ACE">
        <w:rPr>
          <w:color w:val="000000" w:themeColor="text1"/>
          <w:highlight w:val="lightGray"/>
        </w:rPr>
        <w:t>un jour où il ne travaille pas</w:t>
      </w:r>
      <w:r w:rsidR="00130ACE">
        <w:rPr>
          <w:color w:val="000000" w:themeColor="text1"/>
          <w:highlight w:val="lightGray"/>
        </w:rPr>
        <w:t>,</w:t>
      </w:r>
      <w:r w:rsidRPr="00130ACE">
        <w:rPr>
          <w:color w:val="000000" w:themeColor="text1"/>
          <w:highlight w:val="lightGray"/>
        </w:rPr>
        <w:t xml:space="preserve"> </w:t>
      </w:r>
      <w:r w:rsidRPr="00130ACE">
        <w:rPr>
          <w:highlight w:val="lightGray"/>
        </w:rPr>
        <w:t>peut-il récupérer les heures effectuées à ce titre?</w:t>
      </w:r>
    </w:p>
    <w:p w:rsidR="0017177D" w:rsidRPr="0017177D" w:rsidRDefault="0017177D" w:rsidP="0017177D">
      <w:pPr>
        <w:rPr>
          <w:rFonts w:cstheme="minorHAnsi"/>
          <w:sz w:val="22"/>
          <w:szCs w:val="22"/>
        </w:rPr>
      </w:pPr>
    </w:p>
    <w:p w:rsidR="0017177D" w:rsidRDefault="0017177D" w:rsidP="0017177D">
      <w:pPr>
        <w:rPr>
          <w:rFonts w:cstheme="minorHAnsi"/>
          <w:sz w:val="22"/>
          <w:szCs w:val="22"/>
        </w:rPr>
      </w:pPr>
      <w:r w:rsidRPr="00130ACE">
        <w:rPr>
          <w:rFonts w:cstheme="minorHAnsi"/>
          <w:b/>
          <w:sz w:val="22"/>
          <w:szCs w:val="22"/>
        </w:rPr>
        <w:t>NON</w:t>
      </w:r>
      <w:r w:rsidR="00130ACE">
        <w:rPr>
          <w:rFonts w:cstheme="minorHAnsi"/>
          <w:sz w:val="22"/>
          <w:szCs w:val="22"/>
        </w:rPr>
        <w:t>,</w:t>
      </w:r>
      <w:r w:rsidRPr="0017177D">
        <w:rPr>
          <w:rFonts w:cstheme="minorHAnsi"/>
          <w:sz w:val="22"/>
          <w:szCs w:val="22"/>
        </w:rPr>
        <w:t xml:space="preserve"> </w:t>
      </w:r>
      <w:r w:rsidR="00130ACE">
        <w:rPr>
          <w:rFonts w:cstheme="minorHAnsi"/>
          <w:sz w:val="22"/>
          <w:szCs w:val="22"/>
        </w:rPr>
        <w:t>l</w:t>
      </w:r>
      <w:r w:rsidRPr="0017177D">
        <w:rPr>
          <w:rFonts w:cstheme="minorHAnsi"/>
          <w:sz w:val="22"/>
          <w:szCs w:val="22"/>
        </w:rPr>
        <w:t>es représentants du personnel bénéficient d’une autorisation d’absence pour participer aux réunions du C</w:t>
      </w:r>
      <w:r w:rsidR="00675FCB">
        <w:rPr>
          <w:rFonts w:cstheme="minorHAnsi"/>
          <w:sz w:val="22"/>
          <w:szCs w:val="22"/>
        </w:rPr>
        <w:t>S</w:t>
      </w:r>
      <w:r w:rsidRPr="0017177D">
        <w:rPr>
          <w:rFonts w:cstheme="minorHAnsi"/>
          <w:sz w:val="22"/>
          <w:szCs w:val="22"/>
        </w:rPr>
        <w:t xml:space="preserve">T et </w:t>
      </w:r>
      <w:r w:rsidR="00675FCB">
        <w:rPr>
          <w:rFonts w:cstheme="minorHAnsi"/>
          <w:sz w:val="22"/>
          <w:szCs w:val="22"/>
        </w:rPr>
        <w:t>de la F3SCT</w:t>
      </w:r>
      <w:r w:rsidRPr="0017177D">
        <w:rPr>
          <w:rFonts w:cstheme="minorHAnsi"/>
          <w:sz w:val="22"/>
          <w:szCs w:val="22"/>
        </w:rPr>
        <w:t xml:space="preserve"> auxquelles ils sont convoqués (</w:t>
      </w:r>
      <w:r w:rsidRPr="00130ACE">
        <w:rPr>
          <w:rFonts w:cstheme="minorHAnsi"/>
          <w:i/>
          <w:sz w:val="22"/>
          <w:szCs w:val="22"/>
        </w:rPr>
        <w:t>article 18 du décret n° 85-397 du 3 avril</w:t>
      </w:r>
      <w:r w:rsidR="00130ACE" w:rsidRPr="00130ACE">
        <w:rPr>
          <w:rFonts w:cstheme="minorHAnsi"/>
          <w:i/>
          <w:sz w:val="22"/>
          <w:szCs w:val="22"/>
        </w:rPr>
        <w:t xml:space="preserve"> </w:t>
      </w:r>
      <w:r w:rsidRPr="00130ACE">
        <w:rPr>
          <w:rFonts w:cstheme="minorHAnsi"/>
          <w:i/>
          <w:sz w:val="22"/>
          <w:szCs w:val="22"/>
        </w:rPr>
        <w:t>1985</w:t>
      </w:r>
      <w:r w:rsidRPr="0017177D">
        <w:rPr>
          <w:rFonts w:cstheme="minorHAnsi"/>
          <w:sz w:val="22"/>
          <w:szCs w:val="22"/>
        </w:rPr>
        <w:t>). Lorsqu’ils y participent pendant un jour où ils ne travaillent pas, ils ne peuvent ni bénéficier d'autorisations d'absence, ni prétendre à une compensation en temps de travail, dès lors qu'ils n'ont pas à solliciter de telles autorisations (</w:t>
      </w:r>
      <w:r w:rsidRPr="00130ACE">
        <w:rPr>
          <w:rFonts w:cstheme="minorHAnsi"/>
          <w:b/>
          <w:i/>
          <w:color w:val="000000" w:themeColor="text1"/>
          <w:sz w:val="22"/>
          <w:szCs w:val="22"/>
        </w:rPr>
        <w:t>QE n° 91259 JOAN du14 juin 2016, CE n° 362892du 23 juillet</w:t>
      </w:r>
      <w:r w:rsidR="00FE4A24">
        <w:rPr>
          <w:rFonts w:cstheme="minorHAnsi"/>
          <w:b/>
          <w:i/>
          <w:color w:val="000000" w:themeColor="text1"/>
          <w:sz w:val="22"/>
          <w:szCs w:val="22"/>
        </w:rPr>
        <w:t xml:space="preserve"> </w:t>
      </w:r>
      <w:r w:rsidRPr="00130ACE">
        <w:rPr>
          <w:rFonts w:cstheme="minorHAnsi"/>
          <w:b/>
          <w:i/>
          <w:color w:val="000000" w:themeColor="text1"/>
          <w:sz w:val="22"/>
          <w:szCs w:val="22"/>
        </w:rPr>
        <w:t>2014</w:t>
      </w:r>
      <w:r w:rsidRPr="0017177D">
        <w:rPr>
          <w:rFonts w:cstheme="minorHAnsi"/>
          <w:sz w:val="22"/>
          <w:szCs w:val="22"/>
        </w:rPr>
        <w:t>).</w:t>
      </w:r>
    </w:p>
    <w:p w:rsidR="00130ACE" w:rsidRDefault="00130ACE" w:rsidP="0017177D">
      <w:pPr>
        <w:rPr>
          <w:rFonts w:cstheme="minorHAnsi"/>
          <w:sz w:val="22"/>
          <w:szCs w:val="22"/>
        </w:rPr>
      </w:pPr>
    </w:p>
    <w:p w:rsidR="00322670" w:rsidRPr="0017177D" w:rsidRDefault="00322670" w:rsidP="0017177D">
      <w:pPr>
        <w:rPr>
          <w:rFonts w:cstheme="minorHAnsi"/>
          <w:sz w:val="22"/>
          <w:szCs w:val="22"/>
        </w:rPr>
      </w:pPr>
    </w:p>
    <w:p w:rsidR="009630D1" w:rsidRDefault="009630D1" w:rsidP="003B1971">
      <w:pPr>
        <w:rPr>
          <w:rFonts w:ascii="Arial" w:eastAsia="Times New Roman" w:hAnsi="Arial" w:cs="Arial"/>
          <w:b/>
          <w:bCs/>
          <w:color w:val="191A1F"/>
          <w:sz w:val="22"/>
          <w:szCs w:val="22"/>
        </w:rPr>
      </w:pPr>
    </w:p>
    <w:p w:rsidR="0017177D" w:rsidRPr="0017177D" w:rsidRDefault="00C858A8" w:rsidP="00130ACE">
      <w:pPr>
        <w:pStyle w:val="PucesCDG34"/>
      </w:pPr>
      <w:hyperlink r:id="rId9" w:anchor="faq-Un-repr%C3%A9sentant-du-personnel-en-cong%C3%A9-de-maladie-ordinaire-peut-il-si%C3%A9ger-au-sein-des-instances-paritaires-?-" w:history="1">
        <w:r w:rsidR="0017177D" w:rsidRPr="00130ACE">
          <w:rPr>
            <w:highlight w:val="lightGray"/>
          </w:rPr>
          <w:t xml:space="preserve">Un représentant du personnel en </w:t>
        </w:r>
        <w:r w:rsidR="0017177D" w:rsidRPr="00130ACE">
          <w:rPr>
            <w:color w:val="000000" w:themeColor="text1"/>
            <w:highlight w:val="lightGray"/>
          </w:rPr>
          <w:t>congé de maladie ordinaire</w:t>
        </w:r>
        <w:r w:rsidR="0017177D" w:rsidRPr="00130ACE">
          <w:rPr>
            <w:highlight w:val="lightGray"/>
          </w:rPr>
          <w:t xml:space="preserve"> peut-il siéger au sein des instances paritaires ?</w:t>
        </w:r>
      </w:hyperlink>
    </w:p>
    <w:p w:rsidR="0017177D" w:rsidRDefault="0017177D" w:rsidP="0017177D">
      <w:pPr>
        <w:shd w:val="clear" w:color="auto" w:fill="FFFFFF"/>
        <w:spacing w:before="100" w:beforeAutospacing="1" w:after="100" w:afterAutospacing="1"/>
        <w:rPr>
          <w:rFonts w:eastAsia="Times New Roman" w:cstheme="minorHAnsi"/>
          <w:color w:val="7030A0"/>
          <w:sz w:val="22"/>
          <w:szCs w:val="22"/>
        </w:rPr>
      </w:pPr>
      <w:r w:rsidRPr="00322670">
        <w:rPr>
          <w:rFonts w:eastAsia="Times New Roman" w:cstheme="minorHAnsi"/>
          <w:b/>
          <w:color w:val="000000"/>
          <w:sz w:val="22"/>
          <w:szCs w:val="22"/>
        </w:rPr>
        <w:t>OUI</w:t>
      </w:r>
      <w:r w:rsidR="00322670" w:rsidRPr="00322670">
        <w:rPr>
          <w:rFonts w:eastAsia="Times New Roman" w:cstheme="minorHAnsi"/>
          <w:color w:val="000000"/>
          <w:sz w:val="22"/>
          <w:szCs w:val="22"/>
        </w:rPr>
        <w:t>,</w:t>
      </w:r>
      <w:r w:rsidR="00322670">
        <w:rPr>
          <w:rFonts w:eastAsia="Times New Roman" w:cstheme="minorHAnsi"/>
          <w:b/>
          <w:color w:val="000000"/>
          <w:sz w:val="22"/>
          <w:szCs w:val="22"/>
        </w:rPr>
        <w:t xml:space="preserve"> </w:t>
      </w:r>
      <w:r w:rsidR="00322670" w:rsidRPr="00322670">
        <w:rPr>
          <w:rFonts w:eastAsia="Times New Roman" w:cstheme="minorHAnsi"/>
          <w:color w:val="000000"/>
          <w:sz w:val="22"/>
          <w:szCs w:val="22"/>
        </w:rPr>
        <w:t>s</w:t>
      </w:r>
      <w:r w:rsidRPr="00322670">
        <w:rPr>
          <w:rFonts w:eastAsia="Times New Roman" w:cstheme="minorHAnsi"/>
          <w:color w:val="000000"/>
          <w:sz w:val="22"/>
          <w:szCs w:val="22"/>
        </w:rPr>
        <w:t>i</w:t>
      </w:r>
      <w:r w:rsidRPr="0017177D">
        <w:rPr>
          <w:rFonts w:eastAsia="Times New Roman" w:cstheme="minorHAnsi"/>
          <w:color w:val="000000"/>
          <w:sz w:val="22"/>
          <w:szCs w:val="22"/>
        </w:rPr>
        <w:t xml:space="preserve"> l’agent dispose d’une autorisation médicale à cet effet. En l'absence d'autorisation, l'intéressé devra se faire remplacer par un suppléant élu ou désigné par l'organisation syndicale au titre de laquelle il aurait dû siéger (</w:t>
      </w:r>
      <w:r w:rsidRPr="00322670">
        <w:rPr>
          <w:rFonts w:eastAsia="Times New Roman" w:cstheme="minorHAnsi"/>
          <w:b/>
          <w:i/>
          <w:color w:val="000000" w:themeColor="text1"/>
          <w:sz w:val="22"/>
          <w:szCs w:val="22"/>
        </w:rPr>
        <w:t>JO Sénat QE du 26 avril 2018 n° 04707 et réponse publiée au JO Sénat du 19 juillet 2018, page 3630</w:t>
      </w:r>
      <w:r w:rsidRPr="0017177D">
        <w:rPr>
          <w:rFonts w:eastAsia="Times New Roman" w:cstheme="minorHAnsi"/>
          <w:color w:val="7030A0"/>
          <w:sz w:val="22"/>
          <w:szCs w:val="22"/>
        </w:rPr>
        <w:t>).</w:t>
      </w:r>
    </w:p>
    <w:p w:rsidR="00F54DDA" w:rsidRDefault="00F54DDA" w:rsidP="0017177D">
      <w:pPr>
        <w:shd w:val="clear" w:color="auto" w:fill="FFFFFF"/>
        <w:spacing w:before="100" w:beforeAutospacing="1" w:after="100" w:afterAutospacing="1"/>
        <w:rPr>
          <w:rFonts w:eastAsia="Times New Roman" w:cstheme="minorHAnsi"/>
          <w:color w:val="FF0000"/>
          <w:sz w:val="22"/>
          <w:szCs w:val="22"/>
        </w:rPr>
      </w:pPr>
    </w:p>
    <w:p w:rsidR="00BA3F5B" w:rsidRPr="0017177D" w:rsidRDefault="00BA3F5B" w:rsidP="0017177D">
      <w:pPr>
        <w:shd w:val="clear" w:color="auto" w:fill="FFFFFF"/>
        <w:spacing w:before="100" w:beforeAutospacing="1" w:after="100" w:afterAutospacing="1"/>
        <w:rPr>
          <w:rFonts w:eastAsia="Times New Roman" w:cstheme="minorHAnsi"/>
          <w:color w:val="FF0000"/>
          <w:sz w:val="22"/>
          <w:szCs w:val="22"/>
        </w:rPr>
      </w:pPr>
    </w:p>
    <w:p w:rsidR="0017177D" w:rsidRDefault="00F54DDA" w:rsidP="00F54DDA">
      <w:pPr>
        <w:pStyle w:val="PucesCDG34"/>
      </w:pPr>
      <w:r w:rsidRPr="00F54DDA">
        <w:rPr>
          <w:highlight w:val="lightGray"/>
        </w:rPr>
        <w:lastRenderedPageBreak/>
        <w:t>Prime de fin d’année ou « 13</w:t>
      </w:r>
      <w:r w:rsidRPr="00F54DDA">
        <w:rPr>
          <w:highlight w:val="lightGray"/>
          <w:vertAlign w:val="superscript"/>
        </w:rPr>
        <w:t>ème</w:t>
      </w:r>
      <w:r w:rsidRPr="00F54DDA">
        <w:rPr>
          <w:highlight w:val="lightGray"/>
        </w:rPr>
        <w:t xml:space="preserve"> mois »</w:t>
      </w:r>
    </w:p>
    <w:p w:rsidR="00F54DDA" w:rsidRPr="00FE4A24" w:rsidRDefault="00F54DDA" w:rsidP="00F54DDA">
      <w:pPr>
        <w:pStyle w:val="PucesCDG34"/>
        <w:numPr>
          <w:ilvl w:val="0"/>
          <w:numId w:val="0"/>
        </w:numPr>
        <w:ind w:left="142" w:hanging="142"/>
        <w:rPr>
          <w:sz w:val="22"/>
          <w:szCs w:val="22"/>
        </w:rPr>
      </w:pPr>
    </w:p>
    <w:p w:rsidR="00F54DDA" w:rsidRPr="00FE4A24" w:rsidRDefault="00F54DDA" w:rsidP="00F54DDA">
      <w:pPr>
        <w:pStyle w:val="PucesCDG34"/>
        <w:numPr>
          <w:ilvl w:val="0"/>
          <w:numId w:val="0"/>
        </w:numPr>
        <w:ind w:left="142" w:hanging="142"/>
        <w:rPr>
          <w:b w:val="0"/>
          <w:color w:val="000000"/>
          <w:sz w:val="22"/>
          <w:szCs w:val="22"/>
          <w:u w:val="none"/>
        </w:rPr>
      </w:pPr>
      <w:r w:rsidRPr="00FE4A24">
        <w:rPr>
          <w:bCs/>
          <w:color w:val="000000"/>
          <w:sz w:val="22"/>
          <w:szCs w:val="22"/>
          <w:u w:val="none"/>
        </w:rPr>
        <w:t xml:space="preserve">Depuis l’entrée en vigueur du </w:t>
      </w:r>
      <w:r w:rsidRPr="00FE4A24">
        <w:rPr>
          <w:bCs/>
          <w:sz w:val="22"/>
          <w:szCs w:val="22"/>
          <w:u w:val="none"/>
        </w:rPr>
        <w:t xml:space="preserve">décret n° 91-875 </w:t>
      </w:r>
      <w:r w:rsidRPr="00FE4A24">
        <w:rPr>
          <w:bCs/>
          <w:color w:val="000000"/>
          <w:sz w:val="22"/>
          <w:szCs w:val="22"/>
          <w:u w:val="none"/>
        </w:rPr>
        <w:t xml:space="preserve">du 6 septembre 1991 </w:t>
      </w:r>
      <w:r w:rsidRPr="00FE4A24">
        <w:rPr>
          <w:b w:val="0"/>
          <w:color w:val="000000"/>
          <w:sz w:val="22"/>
          <w:szCs w:val="22"/>
          <w:u w:val="none"/>
        </w:rPr>
        <w:t xml:space="preserve">qui a fixé le régime indemnitaire de </w:t>
      </w:r>
    </w:p>
    <w:p w:rsidR="00027C2D" w:rsidRPr="00FE4A24" w:rsidRDefault="00F54DDA" w:rsidP="00F54DDA">
      <w:pPr>
        <w:pStyle w:val="PucesCDG34"/>
        <w:numPr>
          <w:ilvl w:val="0"/>
          <w:numId w:val="0"/>
        </w:numPr>
        <w:ind w:left="142" w:hanging="142"/>
        <w:rPr>
          <w:bCs/>
          <w:color w:val="000000"/>
          <w:sz w:val="22"/>
          <w:szCs w:val="22"/>
          <w:u w:val="none"/>
        </w:rPr>
      </w:pPr>
      <w:r w:rsidRPr="00FE4A24">
        <w:rPr>
          <w:b w:val="0"/>
          <w:color w:val="000000"/>
          <w:sz w:val="22"/>
          <w:szCs w:val="22"/>
          <w:u w:val="none"/>
        </w:rPr>
        <w:t xml:space="preserve">la FPT en application du principe de parité avec la FPE, les employeurs territoriaux </w:t>
      </w:r>
      <w:r w:rsidRPr="00FE4A24">
        <w:rPr>
          <w:bCs/>
          <w:color w:val="000000"/>
          <w:sz w:val="22"/>
          <w:szCs w:val="22"/>
          <w:u w:val="none"/>
        </w:rPr>
        <w:t>peuvent légalement</w:t>
      </w:r>
    </w:p>
    <w:p w:rsidR="00FE4A24" w:rsidRDefault="00F54DDA" w:rsidP="00F54DDA">
      <w:pPr>
        <w:pStyle w:val="PucesCDG34"/>
        <w:numPr>
          <w:ilvl w:val="0"/>
          <w:numId w:val="0"/>
        </w:numPr>
        <w:ind w:left="142" w:hanging="142"/>
        <w:rPr>
          <w:b w:val="0"/>
          <w:color w:val="000000"/>
          <w:sz w:val="22"/>
          <w:szCs w:val="22"/>
          <w:u w:val="none"/>
        </w:rPr>
      </w:pPr>
      <w:r w:rsidRPr="00FE4A24">
        <w:rPr>
          <w:bCs/>
          <w:color w:val="000000"/>
          <w:sz w:val="22"/>
          <w:szCs w:val="22"/>
          <w:u w:val="none"/>
        </w:rPr>
        <w:t xml:space="preserve">mettre fin aux avantages collectivement acquis </w:t>
      </w:r>
      <w:r w:rsidRPr="00FE4A24">
        <w:rPr>
          <w:b w:val="0"/>
          <w:color w:val="000000"/>
          <w:sz w:val="22"/>
          <w:szCs w:val="22"/>
          <w:u w:val="none"/>
        </w:rPr>
        <w:t>ayant le caractère de complément</w:t>
      </w:r>
      <w:r w:rsidR="00FE4A24">
        <w:rPr>
          <w:b w:val="0"/>
          <w:color w:val="000000"/>
          <w:sz w:val="22"/>
          <w:szCs w:val="22"/>
          <w:u w:val="none"/>
        </w:rPr>
        <w:t xml:space="preserve"> de rémunération qu'ils</w:t>
      </w:r>
    </w:p>
    <w:p w:rsidR="00FE4A24" w:rsidRDefault="00F54DDA" w:rsidP="00F54DDA">
      <w:pPr>
        <w:pStyle w:val="PucesCDG34"/>
        <w:numPr>
          <w:ilvl w:val="0"/>
          <w:numId w:val="0"/>
        </w:numPr>
        <w:ind w:left="142" w:hanging="142"/>
        <w:rPr>
          <w:sz w:val="22"/>
          <w:szCs w:val="22"/>
          <w:u w:val="none"/>
        </w:rPr>
      </w:pPr>
      <w:r w:rsidRPr="00FE4A24">
        <w:rPr>
          <w:b w:val="0"/>
          <w:color w:val="000000"/>
          <w:sz w:val="22"/>
          <w:szCs w:val="22"/>
          <w:u w:val="none"/>
        </w:rPr>
        <w:t>avaient</w:t>
      </w:r>
      <w:r w:rsidR="00FE4A24">
        <w:rPr>
          <w:b w:val="0"/>
          <w:color w:val="000000"/>
          <w:sz w:val="22"/>
          <w:szCs w:val="22"/>
          <w:u w:val="none"/>
        </w:rPr>
        <w:t xml:space="preserve"> </w:t>
      </w:r>
      <w:r w:rsidRPr="00FE4A24">
        <w:rPr>
          <w:b w:val="0"/>
          <w:color w:val="000000"/>
          <w:sz w:val="22"/>
          <w:szCs w:val="22"/>
          <w:u w:val="none"/>
        </w:rPr>
        <w:t xml:space="preserve">mis en place avant la création de la FPT et maintenus par la suite sur le fondement de </w:t>
      </w:r>
      <w:r w:rsidR="00FE4A24">
        <w:rPr>
          <w:sz w:val="22"/>
          <w:szCs w:val="22"/>
          <w:u w:val="none"/>
        </w:rPr>
        <w:t xml:space="preserve">l’article 1 </w:t>
      </w:r>
    </w:p>
    <w:p w:rsidR="00F54DDA" w:rsidRPr="00FE4A24" w:rsidRDefault="00F54DDA"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de la loi du 26 janvier 1984.</w:t>
      </w:r>
    </w:p>
    <w:p w:rsidR="00FE4A24" w:rsidRDefault="00F54DDA"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Dans le cas d’espèce, la collectivité avait mis un terme au versemen</w:t>
      </w:r>
      <w:r w:rsidR="00FE4A24">
        <w:rPr>
          <w:b w:val="0"/>
          <w:color w:val="000000"/>
          <w:sz w:val="22"/>
          <w:szCs w:val="22"/>
          <w:u w:val="none"/>
        </w:rPr>
        <w:t>t de la prime de fin d’année en</w:t>
      </w:r>
    </w:p>
    <w:p w:rsidR="00FE4A24" w:rsidRDefault="00F54DDA"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abrogeant la</w:t>
      </w:r>
      <w:r w:rsidR="00FE4A24">
        <w:rPr>
          <w:b w:val="0"/>
          <w:color w:val="000000"/>
          <w:sz w:val="22"/>
          <w:szCs w:val="22"/>
          <w:u w:val="none"/>
        </w:rPr>
        <w:t xml:space="preserve"> </w:t>
      </w:r>
      <w:r w:rsidRPr="00FE4A24">
        <w:rPr>
          <w:b w:val="0"/>
          <w:color w:val="000000"/>
          <w:sz w:val="22"/>
          <w:szCs w:val="22"/>
          <w:u w:val="none"/>
        </w:rPr>
        <w:t>délibération relative à ce complément de rémunération pou</w:t>
      </w:r>
      <w:r w:rsidR="00FE4A24">
        <w:rPr>
          <w:b w:val="0"/>
          <w:color w:val="000000"/>
          <w:sz w:val="22"/>
          <w:szCs w:val="22"/>
          <w:u w:val="none"/>
        </w:rPr>
        <w:t>r les agents qui bénéficient du</w:t>
      </w:r>
    </w:p>
    <w:p w:rsidR="00FE4A24" w:rsidRDefault="00F54DDA"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régime indemnitaire tenant compte des fonctions, des sujétions, de</w:t>
      </w:r>
      <w:r w:rsidR="00FE4A24">
        <w:rPr>
          <w:b w:val="0"/>
          <w:color w:val="000000"/>
          <w:sz w:val="22"/>
          <w:szCs w:val="22"/>
          <w:u w:val="none"/>
        </w:rPr>
        <w:t xml:space="preserve"> l'expertise et de l'engagement</w:t>
      </w:r>
    </w:p>
    <w:p w:rsidR="00F54DDA" w:rsidRPr="00FE4A24" w:rsidRDefault="00F54DDA"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professionnel (RIFSEEP).</w:t>
      </w:r>
    </w:p>
    <w:p w:rsidR="00F54DDA" w:rsidRPr="00FE4A24" w:rsidRDefault="00F54DDA" w:rsidP="00F54DDA">
      <w:pPr>
        <w:pStyle w:val="PucesCDG34"/>
        <w:numPr>
          <w:ilvl w:val="0"/>
          <w:numId w:val="0"/>
        </w:numPr>
        <w:ind w:left="142" w:hanging="142"/>
        <w:rPr>
          <w:i/>
          <w:iCs/>
          <w:sz w:val="22"/>
          <w:szCs w:val="22"/>
          <w:u w:val="none"/>
        </w:rPr>
      </w:pPr>
      <w:r w:rsidRPr="00FE4A24">
        <w:rPr>
          <w:color w:val="000000"/>
          <w:sz w:val="22"/>
          <w:szCs w:val="22"/>
          <w:u w:val="none"/>
        </w:rPr>
        <w:sym w:font="Wingdings" w:char="F0C4"/>
      </w:r>
      <w:r w:rsidRPr="00FE4A24">
        <w:rPr>
          <w:b w:val="0"/>
          <w:color w:val="5F5F5F"/>
          <w:sz w:val="22"/>
          <w:szCs w:val="22"/>
          <w:u w:val="none"/>
        </w:rPr>
        <w:t xml:space="preserve"> </w:t>
      </w:r>
      <w:r w:rsidRPr="00FE4A24">
        <w:rPr>
          <w:i/>
          <w:iCs/>
          <w:sz w:val="22"/>
          <w:szCs w:val="22"/>
          <w:u w:val="none"/>
        </w:rPr>
        <w:t>CAA Toulouse n° 21TL01855 du 21 juin 2022</w:t>
      </w:r>
    </w:p>
    <w:p w:rsidR="00F54DDA" w:rsidRPr="00FE4A24" w:rsidRDefault="00F54DDA" w:rsidP="00F54DDA">
      <w:pPr>
        <w:pStyle w:val="PucesCDG34"/>
        <w:numPr>
          <w:ilvl w:val="0"/>
          <w:numId w:val="0"/>
        </w:numPr>
        <w:ind w:left="142" w:hanging="142"/>
        <w:rPr>
          <w:sz w:val="22"/>
          <w:szCs w:val="22"/>
        </w:rPr>
      </w:pPr>
    </w:p>
    <w:p w:rsidR="00EE3910" w:rsidRPr="00FE4A24" w:rsidRDefault="00FE4A24" w:rsidP="00F54DDA">
      <w:pPr>
        <w:pStyle w:val="PucesCDG34"/>
        <w:numPr>
          <w:ilvl w:val="0"/>
          <w:numId w:val="0"/>
        </w:numPr>
        <w:ind w:left="142" w:hanging="142"/>
        <w:rPr>
          <w:b w:val="0"/>
          <w:color w:val="000000"/>
          <w:sz w:val="22"/>
          <w:szCs w:val="22"/>
        </w:rPr>
      </w:pPr>
      <w:r>
        <w:rPr>
          <w:b w:val="0"/>
          <w:color w:val="000000"/>
          <w:sz w:val="22"/>
          <w:szCs w:val="22"/>
        </w:rPr>
        <w:t>E</w:t>
      </w:r>
      <w:r w:rsidR="00EE3910" w:rsidRPr="00FE4A24">
        <w:rPr>
          <w:b w:val="0"/>
          <w:color w:val="000000"/>
          <w:sz w:val="22"/>
          <w:szCs w:val="22"/>
        </w:rPr>
        <w:t>clairage :</w:t>
      </w:r>
    </w:p>
    <w:p w:rsidR="00EE3910" w:rsidRPr="00FE4A24" w:rsidRDefault="00EE3910"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La cour administrative d’appel de Toulouse reprend la formulation employée par le Conseil d’Etat sur</w:t>
      </w:r>
    </w:p>
    <w:p w:rsidR="00EE3910" w:rsidRPr="00FE4A24" w:rsidRDefault="00EE3910" w:rsidP="00F54DDA">
      <w:pPr>
        <w:pStyle w:val="PucesCDG34"/>
        <w:numPr>
          <w:ilvl w:val="0"/>
          <w:numId w:val="0"/>
        </w:numPr>
        <w:ind w:left="142" w:hanging="142"/>
        <w:rPr>
          <w:b w:val="0"/>
          <w:color w:val="000000"/>
          <w:sz w:val="22"/>
          <w:szCs w:val="22"/>
          <w:u w:val="none"/>
        </w:rPr>
      </w:pPr>
      <w:r w:rsidRPr="00FE4A24">
        <w:rPr>
          <w:b w:val="0"/>
          <w:color w:val="000000"/>
          <w:sz w:val="22"/>
          <w:szCs w:val="22"/>
          <w:u w:val="none"/>
        </w:rPr>
        <w:t>l’</w:t>
      </w:r>
      <w:r w:rsidRPr="00FE4A24">
        <w:rPr>
          <w:bCs/>
          <w:color w:val="000000"/>
          <w:sz w:val="22"/>
          <w:szCs w:val="22"/>
          <w:u w:val="none"/>
        </w:rPr>
        <w:t xml:space="preserve">absence de caractère définitif du maintien des avantages collectivement acquis </w:t>
      </w:r>
      <w:r w:rsidRPr="00FE4A24">
        <w:rPr>
          <w:b w:val="0"/>
          <w:color w:val="000000"/>
          <w:sz w:val="22"/>
          <w:szCs w:val="22"/>
          <w:u w:val="none"/>
        </w:rPr>
        <w:t xml:space="preserve">après l'entrée en vigueur </w:t>
      </w:r>
    </w:p>
    <w:p w:rsidR="00EE3910" w:rsidRPr="00FE4A24" w:rsidRDefault="00EE3910" w:rsidP="00F54DDA">
      <w:pPr>
        <w:pStyle w:val="PucesCDG34"/>
        <w:numPr>
          <w:ilvl w:val="0"/>
          <w:numId w:val="0"/>
        </w:numPr>
        <w:ind w:left="142" w:hanging="142"/>
        <w:rPr>
          <w:bCs/>
          <w:color w:val="000000"/>
          <w:sz w:val="22"/>
          <w:szCs w:val="22"/>
          <w:u w:val="none"/>
        </w:rPr>
      </w:pPr>
      <w:r w:rsidRPr="00FE4A24">
        <w:rPr>
          <w:b w:val="0"/>
          <w:color w:val="000000"/>
          <w:sz w:val="22"/>
          <w:szCs w:val="22"/>
          <w:u w:val="none"/>
        </w:rPr>
        <w:t>du régime indemnitaire de la FPT (</w:t>
      </w:r>
      <w:r w:rsidRPr="00FE4A24">
        <w:rPr>
          <w:b w:val="0"/>
          <w:sz w:val="22"/>
          <w:szCs w:val="22"/>
          <w:u w:val="none"/>
        </w:rPr>
        <w:t xml:space="preserve">CE n° 287771 </w:t>
      </w:r>
      <w:r w:rsidRPr="00FE4A24">
        <w:rPr>
          <w:b w:val="0"/>
          <w:color w:val="000000"/>
          <w:sz w:val="22"/>
          <w:szCs w:val="22"/>
          <w:u w:val="none"/>
        </w:rPr>
        <w:t>du 21 mars 2008, commune de Bergheim).</w:t>
      </w:r>
    </w:p>
    <w:p w:rsidR="00EE3910" w:rsidRPr="00FE4A24" w:rsidRDefault="00EE3910" w:rsidP="00F54DDA">
      <w:pPr>
        <w:pStyle w:val="PucesCDG34"/>
        <w:numPr>
          <w:ilvl w:val="0"/>
          <w:numId w:val="0"/>
        </w:numPr>
        <w:ind w:left="142" w:hanging="142"/>
        <w:rPr>
          <w:bCs/>
          <w:color w:val="000000"/>
          <w:sz w:val="22"/>
          <w:szCs w:val="22"/>
          <w:u w:val="none"/>
        </w:rPr>
      </w:pPr>
      <w:r w:rsidRPr="00FE4A24">
        <w:rPr>
          <w:b w:val="0"/>
          <w:color w:val="000000"/>
          <w:sz w:val="22"/>
          <w:szCs w:val="22"/>
          <w:u w:val="none"/>
        </w:rPr>
        <w:t xml:space="preserve">En ce qui concerne la </w:t>
      </w:r>
      <w:r w:rsidRPr="00FE4A24">
        <w:rPr>
          <w:bCs/>
          <w:color w:val="000000"/>
          <w:sz w:val="22"/>
          <w:szCs w:val="22"/>
          <w:u w:val="none"/>
        </w:rPr>
        <w:t>possibilité pour une collectivité de modifier les conditions d’octroi de tels</w:t>
      </w:r>
    </w:p>
    <w:p w:rsidR="00EE3910" w:rsidRPr="00FE4A24" w:rsidRDefault="00EE3910" w:rsidP="00F54DDA">
      <w:pPr>
        <w:pStyle w:val="PucesCDG34"/>
        <w:numPr>
          <w:ilvl w:val="0"/>
          <w:numId w:val="0"/>
        </w:numPr>
        <w:ind w:left="142" w:hanging="142"/>
        <w:rPr>
          <w:bCs/>
          <w:color w:val="000000"/>
          <w:sz w:val="22"/>
          <w:szCs w:val="22"/>
          <w:u w:val="none"/>
        </w:rPr>
      </w:pPr>
      <w:r w:rsidRPr="00FE4A24">
        <w:rPr>
          <w:bCs/>
          <w:color w:val="000000"/>
          <w:sz w:val="22"/>
          <w:szCs w:val="22"/>
          <w:u w:val="none"/>
        </w:rPr>
        <w:t>avantages</w:t>
      </w:r>
      <w:r w:rsidRPr="00FE4A24">
        <w:rPr>
          <w:b w:val="0"/>
          <w:color w:val="000000"/>
          <w:sz w:val="22"/>
          <w:szCs w:val="22"/>
          <w:u w:val="none"/>
        </w:rPr>
        <w:t xml:space="preserve">, la jurisprudence ne s’est prononcée à notre connaissance que sur des </w:t>
      </w:r>
      <w:r w:rsidRPr="00FE4A24">
        <w:rPr>
          <w:bCs/>
          <w:color w:val="000000"/>
          <w:sz w:val="22"/>
          <w:szCs w:val="22"/>
          <w:u w:val="none"/>
        </w:rPr>
        <w:t>situations antérieures à</w:t>
      </w:r>
    </w:p>
    <w:p w:rsidR="00EE3910" w:rsidRPr="00FE4A24" w:rsidRDefault="00EE3910" w:rsidP="00F54DDA">
      <w:pPr>
        <w:pStyle w:val="PucesCDG34"/>
        <w:numPr>
          <w:ilvl w:val="0"/>
          <w:numId w:val="0"/>
        </w:numPr>
        <w:ind w:left="142" w:hanging="142"/>
        <w:rPr>
          <w:b w:val="0"/>
          <w:color w:val="000000"/>
          <w:sz w:val="22"/>
          <w:szCs w:val="22"/>
          <w:u w:val="none"/>
        </w:rPr>
      </w:pPr>
      <w:r w:rsidRPr="00FE4A24">
        <w:rPr>
          <w:bCs/>
          <w:color w:val="000000"/>
          <w:sz w:val="22"/>
          <w:szCs w:val="22"/>
          <w:u w:val="none"/>
        </w:rPr>
        <w:t xml:space="preserve">l’entrée en vigueur du décret du 6 septembre 1991 </w:t>
      </w:r>
      <w:r w:rsidRPr="00FE4A24">
        <w:rPr>
          <w:b w:val="0"/>
          <w:color w:val="000000"/>
          <w:sz w:val="22"/>
          <w:szCs w:val="22"/>
          <w:u w:val="none"/>
        </w:rPr>
        <w:t>en excluant par principe toute modification de</w:t>
      </w:r>
    </w:p>
    <w:p w:rsidR="00EE3910" w:rsidRPr="00FE4A24" w:rsidRDefault="00EE3910" w:rsidP="00F54DDA">
      <w:pPr>
        <w:pStyle w:val="PucesCDG34"/>
        <w:numPr>
          <w:ilvl w:val="0"/>
          <w:numId w:val="0"/>
        </w:numPr>
        <w:ind w:left="142" w:hanging="142"/>
        <w:rPr>
          <w:b w:val="0"/>
          <w:sz w:val="22"/>
          <w:szCs w:val="22"/>
          <w:u w:val="none"/>
        </w:rPr>
      </w:pPr>
      <w:r w:rsidRPr="00FE4A24">
        <w:rPr>
          <w:b w:val="0"/>
          <w:color w:val="000000"/>
          <w:sz w:val="22"/>
          <w:szCs w:val="22"/>
          <w:u w:val="none"/>
        </w:rPr>
        <w:t>l'avantage collectivement acquis (</w:t>
      </w:r>
      <w:r w:rsidRPr="00FE4A24">
        <w:rPr>
          <w:b w:val="0"/>
          <w:sz w:val="22"/>
          <w:szCs w:val="22"/>
          <w:u w:val="none"/>
        </w:rPr>
        <w:t xml:space="preserve">CE n° 118653 du 12 avril 1991, CE n° 105447 du 29 décembre 1993, CE n° </w:t>
      </w:r>
    </w:p>
    <w:p w:rsidR="00EE3910" w:rsidRPr="00FE4A24" w:rsidRDefault="00EE3910" w:rsidP="00F54DDA">
      <w:pPr>
        <w:pStyle w:val="PucesCDG34"/>
        <w:numPr>
          <w:ilvl w:val="0"/>
          <w:numId w:val="0"/>
        </w:numPr>
        <w:ind w:left="142" w:hanging="142"/>
        <w:rPr>
          <w:b w:val="0"/>
          <w:sz w:val="22"/>
          <w:szCs w:val="22"/>
          <w:u w:val="none"/>
        </w:rPr>
      </w:pPr>
      <w:r w:rsidRPr="00FE4A24">
        <w:rPr>
          <w:b w:val="0"/>
          <w:sz w:val="22"/>
          <w:szCs w:val="22"/>
          <w:u w:val="none"/>
        </w:rPr>
        <w:t xml:space="preserve">105003 du 15 février 1995, CE n° 151348 du 11 septembre 1995, CE n° 92692 du 2 octobre 1992, CE </w:t>
      </w:r>
    </w:p>
    <w:p w:rsidR="00EE3910" w:rsidRPr="00FE4A24" w:rsidRDefault="00EE3910" w:rsidP="00F54DDA">
      <w:pPr>
        <w:pStyle w:val="PucesCDG34"/>
        <w:numPr>
          <w:ilvl w:val="0"/>
          <w:numId w:val="0"/>
        </w:numPr>
        <w:ind w:left="142" w:hanging="142"/>
        <w:rPr>
          <w:b w:val="0"/>
          <w:sz w:val="22"/>
          <w:szCs w:val="22"/>
          <w:u w:val="none"/>
        </w:rPr>
      </w:pPr>
      <w:r w:rsidRPr="00FE4A24">
        <w:rPr>
          <w:b w:val="0"/>
          <w:sz w:val="22"/>
          <w:szCs w:val="22"/>
          <w:u w:val="none"/>
        </w:rPr>
        <w:t>n°153685 du 6 novembre 1998).</w:t>
      </w:r>
    </w:p>
    <w:p w:rsidR="00EE3910" w:rsidRPr="00FE4A24" w:rsidRDefault="00EE3910" w:rsidP="00F54DDA">
      <w:pPr>
        <w:pStyle w:val="PucesCDG34"/>
        <w:numPr>
          <w:ilvl w:val="0"/>
          <w:numId w:val="0"/>
        </w:numPr>
        <w:ind w:left="142" w:hanging="142"/>
        <w:rPr>
          <w:bCs/>
          <w:sz w:val="22"/>
          <w:szCs w:val="22"/>
          <w:u w:val="none"/>
        </w:rPr>
      </w:pPr>
      <w:r w:rsidRPr="00FE4A24">
        <w:rPr>
          <w:b w:val="0"/>
          <w:sz w:val="22"/>
          <w:szCs w:val="22"/>
          <w:u w:val="none"/>
        </w:rPr>
        <w:t xml:space="preserve">Selon le rapporteur public Terry Olson dans l’arrêt précité commune de Bergheim, cette possibilité </w:t>
      </w:r>
      <w:r w:rsidRPr="00FE4A24">
        <w:rPr>
          <w:bCs/>
          <w:sz w:val="22"/>
          <w:szCs w:val="22"/>
          <w:u w:val="none"/>
        </w:rPr>
        <w:t>depuis</w:t>
      </w:r>
    </w:p>
    <w:p w:rsidR="00EE3910" w:rsidRPr="00FE4A24" w:rsidRDefault="00EE3910" w:rsidP="00F54DDA">
      <w:pPr>
        <w:pStyle w:val="PucesCDG34"/>
        <w:numPr>
          <w:ilvl w:val="0"/>
          <w:numId w:val="0"/>
        </w:numPr>
        <w:ind w:left="142" w:hanging="142"/>
        <w:rPr>
          <w:b w:val="0"/>
          <w:sz w:val="22"/>
          <w:szCs w:val="22"/>
          <w:u w:val="none"/>
        </w:rPr>
      </w:pPr>
      <w:r w:rsidRPr="00FE4A24">
        <w:rPr>
          <w:bCs/>
          <w:sz w:val="22"/>
          <w:szCs w:val="22"/>
          <w:u w:val="none"/>
        </w:rPr>
        <w:t xml:space="preserve">l’entrée en vigueur du décret de 1991 </w:t>
      </w:r>
      <w:r w:rsidRPr="00FE4A24">
        <w:rPr>
          <w:b w:val="0"/>
          <w:sz w:val="22"/>
          <w:szCs w:val="22"/>
          <w:u w:val="none"/>
        </w:rPr>
        <w:t>a été admise « en creux » par le Conseil d’Etat dans une décision du</w:t>
      </w:r>
    </w:p>
    <w:p w:rsidR="00F54DDA" w:rsidRPr="00FE4A24" w:rsidRDefault="00EE3910" w:rsidP="00F54DDA">
      <w:pPr>
        <w:pStyle w:val="PucesCDG34"/>
        <w:numPr>
          <w:ilvl w:val="0"/>
          <w:numId w:val="0"/>
        </w:numPr>
        <w:ind w:left="142" w:hanging="142"/>
        <w:rPr>
          <w:b w:val="0"/>
          <w:sz w:val="22"/>
          <w:szCs w:val="22"/>
          <w:u w:val="none"/>
        </w:rPr>
      </w:pPr>
      <w:r w:rsidRPr="00FE4A24">
        <w:rPr>
          <w:b w:val="0"/>
          <w:sz w:val="22"/>
          <w:szCs w:val="22"/>
          <w:u w:val="none"/>
        </w:rPr>
        <w:t>11 septembre 1995 (n° 151348, commune de Saint-Rémy de Provence).</w:t>
      </w:r>
    </w:p>
    <w:p w:rsidR="00DA05C6" w:rsidRDefault="00DA05C6" w:rsidP="00F54DDA">
      <w:pPr>
        <w:pStyle w:val="PucesCDG34"/>
        <w:numPr>
          <w:ilvl w:val="0"/>
          <w:numId w:val="0"/>
        </w:numPr>
        <w:ind w:left="142" w:hanging="142"/>
        <w:rPr>
          <w:b w:val="0"/>
          <w:sz w:val="22"/>
          <w:szCs w:val="22"/>
          <w:u w:val="none"/>
        </w:rPr>
      </w:pPr>
    </w:p>
    <w:p w:rsidR="00DA05C6" w:rsidRDefault="00DA05C6" w:rsidP="00F54DDA">
      <w:pPr>
        <w:pStyle w:val="PucesCDG34"/>
        <w:numPr>
          <w:ilvl w:val="0"/>
          <w:numId w:val="0"/>
        </w:numPr>
        <w:ind w:left="142" w:hanging="142"/>
        <w:rPr>
          <w:b w:val="0"/>
          <w:sz w:val="22"/>
          <w:szCs w:val="22"/>
          <w:u w:val="none"/>
        </w:rPr>
      </w:pPr>
    </w:p>
    <w:p w:rsidR="00DA05C6" w:rsidRDefault="00DA05C6" w:rsidP="00F54DDA">
      <w:pPr>
        <w:pStyle w:val="PucesCDG34"/>
        <w:numPr>
          <w:ilvl w:val="0"/>
          <w:numId w:val="0"/>
        </w:numPr>
        <w:ind w:left="142" w:hanging="142"/>
        <w:rPr>
          <w:b w:val="0"/>
          <w:sz w:val="22"/>
          <w:szCs w:val="22"/>
          <w:u w:val="none"/>
        </w:rPr>
      </w:pPr>
    </w:p>
    <w:p w:rsidR="00DA05C6" w:rsidRDefault="00DA05C6" w:rsidP="00DA05C6">
      <w:pPr>
        <w:pStyle w:val="PucesCDG34"/>
      </w:pPr>
      <w:r w:rsidRPr="005C4A00">
        <w:rPr>
          <w:highlight w:val="lightGray"/>
        </w:rPr>
        <w:t>Dans la fonction publique territoriale, quel est le nombre de jour maximum de jours d’aménagement et de réduction du temps de travail (RTT) qui peuvent être attribués par an ? Y a-t-il une limite ?</w:t>
      </w:r>
    </w:p>
    <w:p w:rsidR="00DA05C6" w:rsidRDefault="00DA05C6" w:rsidP="00DA05C6">
      <w:pPr>
        <w:pStyle w:val="PucesCDG34"/>
        <w:numPr>
          <w:ilvl w:val="0"/>
          <w:numId w:val="0"/>
        </w:numPr>
        <w:ind w:left="142"/>
      </w:pPr>
    </w:p>
    <w:p w:rsidR="00DA05C6" w:rsidRDefault="00DA05C6" w:rsidP="00DA05C6">
      <w:pPr>
        <w:pStyle w:val="PucesCDG34"/>
        <w:numPr>
          <w:ilvl w:val="0"/>
          <w:numId w:val="0"/>
        </w:numPr>
        <w:ind w:left="142" w:hanging="142"/>
        <w:rPr>
          <w:b w:val="0"/>
          <w:sz w:val="22"/>
          <w:szCs w:val="22"/>
          <w:u w:val="none"/>
        </w:rPr>
      </w:pPr>
      <w:r w:rsidRPr="00DA05C6">
        <w:rPr>
          <w:b w:val="0"/>
          <w:sz w:val="22"/>
          <w:szCs w:val="22"/>
          <w:u w:val="none"/>
        </w:rPr>
        <w:t>Lorsque le cycle de travail hebdomadaire dépasse 35 heures, c’est-à-dire q</w:t>
      </w:r>
      <w:r>
        <w:rPr>
          <w:b w:val="0"/>
          <w:sz w:val="22"/>
          <w:szCs w:val="22"/>
          <w:u w:val="none"/>
        </w:rPr>
        <w:t>ue la durée annuelle du travail</w:t>
      </w:r>
    </w:p>
    <w:p w:rsidR="00DA05C6" w:rsidRDefault="002E1D2C" w:rsidP="00DA05C6">
      <w:pPr>
        <w:pStyle w:val="PucesCDG34"/>
        <w:numPr>
          <w:ilvl w:val="0"/>
          <w:numId w:val="0"/>
        </w:numPr>
        <w:ind w:left="142" w:hanging="142"/>
        <w:rPr>
          <w:b w:val="0"/>
          <w:sz w:val="22"/>
          <w:szCs w:val="22"/>
          <w:u w:val="none"/>
        </w:rPr>
      </w:pPr>
      <w:r>
        <w:rPr>
          <w:b w:val="0"/>
          <w:sz w:val="22"/>
          <w:szCs w:val="22"/>
          <w:u w:val="none"/>
        </w:rPr>
        <w:t>d</w:t>
      </w:r>
      <w:r w:rsidR="00DA05C6" w:rsidRPr="00DA05C6">
        <w:rPr>
          <w:b w:val="0"/>
          <w:sz w:val="22"/>
          <w:szCs w:val="22"/>
          <w:u w:val="none"/>
        </w:rPr>
        <w:t>épasse</w:t>
      </w:r>
      <w:r w:rsidR="00DA05C6">
        <w:rPr>
          <w:b w:val="0"/>
          <w:sz w:val="22"/>
          <w:szCs w:val="22"/>
          <w:u w:val="none"/>
        </w:rPr>
        <w:t xml:space="preserve"> </w:t>
      </w:r>
      <w:r w:rsidR="00DA05C6" w:rsidRPr="00DA05C6">
        <w:rPr>
          <w:b w:val="0"/>
          <w:sz w:val="22"/>
          <w:szCs w:val="22"/>
          <w:u w:val="none"/>
        </w:rPr>
        <w:t>1607 heures, des jours d’aménagement et de réduction du temps de</w:t>
      </w:r>
      <w:r w:rsidR="00DA05C6">
        <w:rPr>
          <w:b w:val="0"/>
          <w:sz w:val="22"/>
          <w:szCs w:val="22"/>
          <w:u w:val="none"/>
        </w:rPr>
        <w:t xml:space="preserve"> travail sont accordés afin que</w:t>
      </w:r>
    </w:p>
    <w:p w:rsidR="00DA05C6" w:rsidRDefault="00DA05C6" w:rsidP="00DA05C6">
      <w:pPr>
        <w:pStyle w:val="PucesCDG34"/>
        <w:numPr>
          <w:ilvl w:val="0"/>
          <w:numId w:val="0"/>
        </w:numPr>
        <w:ind w:left="142" w:hanging="142"/>
        <w:rPr>
          <w:b w:val="0"/>
          <w:sz w:val="22"/>
          <w:szCs w:val="22"/>
          <w:u w:val="none"/>
        </w:rPr>
      </w:pPr>
      <w:r w:rsidRPr="00DA05C6">
        <w:rPr>
          <w:b w:val="0"/>
          <w:sz w:val="22"/>
          <w:szCs w:val="22"/>
          <w:u w:val="none"/>
        </w:rPr>
        <w:t>la durée annuelle</w:t>
      </w:r>
      <w:r>
        <w:rPr>
          <w:b w:val="0"/>
          <w:sz w:val="22"/>
          <w:szCs w:val="22"/>
          <w:u w:val="none"/>
        </w:rPr>
        <w:t xml:space="preserve"> </w:t>
      </w:r>
      <w:r w:rsidRPr="00DA05C6">
        <w:rPr>
          <w:b w:val="0"/>
          <w:sz w:val="22"/>
          <w:szCs w:val="22"/>
          <w:u w:val="none"/>
        </w:rPr>
        <w:t xml:space="preserve">du travail effectif soit conforme à la durée annuelle légale </w:t>
      </w:r>
      <w:r>
        <w:rPr>
          <w:b w:val="0"/>
          <w:sz w:val="22"/>
          <w:szCs w:val="22"/>
          <w:u w:val="none"/>
        </w:rPr>
        <w:t xml:space="preserve">de 1607 heures. Il n’existe pas </w:t>
      </w:r>
    </w:p>
    <w:p w:rsidR="00DA05C6" w:rsidRDefault="00DA05C6" w:rsidP="00DA05C6">
      <w:pPr>
        <w:pStyle w:val="PucesCDG34"/>
        <w:numPr>
          <w:ilvl w:val="0"/>
          <w:numId w:val="0"/>
        </w:numPr>
        <w:ind w:left="142" w:hanging="142"/>
        <w:rPr>
          <w:b w:val="0"/>
          <w:color w:val="000000"/>
          <w:sz w:val="22"/>
          <w:szCs w:val="22"/>
          <w:u w:val="none"/>
        </w:rPr>
      </w:pPr>
      <w:r w:rsidRPr="00DA05C6">
        <w:rPr>
          <w:b w:val="0"/>
          <w:sz w:val="22"/>
          <w:szCs w:val="22"/>
          <w:u w:val="none"/>
        </w:rPr>
        <w:t>à proprement dit un nombre</w:t>
      </w:r>
      <w:r>
        <w:rPr>
          <w:b w:val="0"/>
          <w:sz w:val="22"/>
          <w:szCs w:val="22"/>
          <w:u w:val="none"/>
        </w:rPr>
        <w:t xml:space="preserve"> </w:t>
      </w:r>
      <w:r w:rsidRPr="00DA05C6">
        <w:rPr>
          <w:b w:val="0"/>
          <w:color w:val="000000"/>
          <w:sz w:val="22"/>
          <w:szCs w:val="22"/>
          <w:u w:val="none"/>
        </w:rPr>
        <w:t>maximal de journées de RTT pouvant être oct</w:t>
      </w:r>
      <w:r>
        <w:rPr>
          <w:b w:val="0"/>
          <w:color w:val="000000"/>
          <w:sz w:val="22"/>
          <w:szCs w:val="22"/>
          <w:u w:val="none"/>
        </w:rPr>
        <w:t xml:space="preserve">royées. Le nombre de RTT est en </w:t>
      </w:r>
    </w:p>
    <w:p w:rsidR="00DA05C6" w:rsidRDefault="00DA05C6" w:rsidP="00DA05C6">
      <w:pPr>
        <w:pStyle w:val="PucesCDG34"/>
        <w:numPr>
          <w:ilvl w:val="0"/>
          <w:numId w:val="0"/>
        </w:numPr>
        <w:ind w:left="142" w:hanging="142"/>
        <w:rPr>
          <w:b w:val="0"/>
          <w:color w:val="000000"/>
          <w:sz w:val="22"/>
          <w:szCs w:val="22"/>
          <w:u w:val="none"/>
        </w:rPr>
      </w:pPr>
      <w:r w:rsidRPr="00DA05C6">
        <w:rPr>
          <w:b w:val="0"/>
          <w:color w:val="000000"/>
          <w:sz w:val="22"/>
          <w:szCs w:val="22"/>
          <w:u w:val="none"/>
        </w:rPr>
        <w:t>effet fonction du cycle de travail</w:t>
      </w:r>
      <w:r>
        <w:rPr>
          <w:b w:val="0"/>
          <w:color w:val="000000"/>
          <w:sz w:val="22"/>
          <w:szCs w:val="22"/>
          <w:u w:val="none"/>
        </w:rPr>
        <w:t xml:space="preserve"> </w:t>
      </w:r>
      <w:r w:rsidRPr="00DA05C6">
        <w:rPr>
          <w:b w:val="0"/>
          <w:color w:val="000000"/>
          <w:sz w:val="22"/>
          <w:szCs w:val="22"/>
          <w:u w:val="none"/>
        </w:rPr>
        <w:t xml:space="preserve">retenu : 39 heures génèreront ainsi 23 RTT, 38 heures </w:t>
      </w:r>
      <w:r w:rsidR="002E1D2C">
        <w:rPr>
          <w:b w:val="0"/>
          <w:color w:val="000000"/>
          <w:sz w:val="22"/>
          <w:szCs w:val="22"/>
          <w:u w:val="none"/>
        </w:rPr>
        <w:t>génèreront 18 RTT</w:t>
      </w:r>
      <w:r w:rsidRPr="00DA05C6">
        <w:rPr>
          <w:b w:val="0"/>
          <w:color w:val="000000"/>
          <w:sz w:val="22"/>
          <w:szCs w:val="22"/>
          <w:u w:val="none"/>
        </w:rPr>
        <w:t>…</w:t>
      </w:r>
    </w:p>
    <w:p w:rsidR="006B3A70" w:rsidRPr="00DA05C6" w:rsidRDefault="006B3A70" w:rsidP="00DA05C6">
      <w:pPr>
        <w:pStyle w:val="PucesCDG34"/>
        <w:numPr>
          <w:ilvl w:val="0"/>
          <w:numId w:val="0"/>
        </w:numPr>
        <w:ind w:left="142" w:hanging="142"/>
        <w:rPr>
          <w:b w:val="0"/>
          <w:sz w:val="22"/>
          <w:szCs w:val="22"/>
          <w:u w:val="none"/>
        </w:rPr>
      </w:pPr>
    </w:p>
    <w:p w:rsidR="00DA05C6" w:rsidRPr="00DA05C6" w:rsidRDefault="00DA05C6" w:rsidP="008421E8">
      <w:pPr>
        <w:pStyle w:val="PucesCDG34"/>
        <w:numPr>
          <w:ilvl w:val="0"/>
          <w:numId w:val="0"/>
        </w:numPr>
        <w:ind w:hanging="142"/>
        <w:rPr>
          <w:b w:val="0"/>
          <w:sz w:val="22"/>
          <w:szCs w:val="22"/>
          <w:u w:val="none"/>
        </w:rPr>
      </w:pPr>
    </w:p>
    <w:p w:rsidR="006B3A70" w:rsidRPr="005C4A00" w:rsidRDefault="006B3A70" w:rsidP="006B3A70">
      <w:pPr>
        <w:pStyle w:val="PucesCDG34"/>
        <w:rPr>
          <w:highlight w:val="lightGray"/>
        </w:rPr>
      </w:pPr>
      <w:r w:rsidRPr="005C4A00">
        <w:rPr>
          <w:highlight w:val="lightGray"/>
        </w:rPr>
        <w:t>Est-ce que la journée de solidarité doit être obligatoirement prévue le lundi de pentecôte ?</w:t>
      </w:r>
    </w:p>
    <w:p w:rsidR="00DA05C6" w:rsidRDefault="00DA05C6" w:rsidP="00F54DDA">
      <w:pPr>
        <w:pStyle w:val="PucesCDG34"/>
        <w:numPr>
          <w:ilvl w:val="0"/>
          <w:numId w:val="0"/>
        </w:numPr>
        <w:ind w:left="142" w:hanging="142"/>
        <w:rPr>
          <w:b w:val="0"/>
          <w:sz w:val="22"/>
          <w:szCs w:val="22"/>
          <w:u w:val="none"/>
        </w:rPr>
      </w:pPr>
    </w:p>
    <w:p w:rsidR="006B3A70" w:rsidRDefault="006B3A70" w:rsidP="00F54DDA">
      <w:pPr>
        <w:pStyle w:val="PucesCDG34"/>
        <w:numPr>
          <w:ilvl w:val="0"/>
          <w:numId w:val="0"/>
        </w:numPr>
        <w:ind w:left="142" w:hanging="142"/>
        <w:rPr>
          <w:b w:val="0"/>
          <w:color w:val="000000"/>
          <w:sz w:val="22"/>
          <w:szCs w:val="22"/>
          <w:u w:val="none"/>
        </w:rPr>
      </w:pPr>
      <w:r>
        <w:rPr>
          <w:bCs/>
          <w:color w:val="000000"/>
          <w:sz w:val="22"/>
          <w:szCs w:val="22"/>
          <w:u w:val="none"/>
        </w:rPr>
        <w:t>Non,</w:t>
      </w:r>
      <w:r w:rsidRPr="006B3A70">
        <w:rPr>
          <w:b w:val="0"/>
          <w:bCs/>
          <w:color w:val="000000"/>
          <w:sz w:val="22"/>
          <w:szCs w:val="22"/>
          <w:u w:val="none"/>
        </w:rPr>
        <w:t xml:space="preserve"> l</w:t>
      </w:r>
      <w:r w:rsidRPr="006B3A70">
        <w:rPr>
          <w:b w:val="0"/>
          <w:color w:val="000000"/>
          <w:sz w:val="22"/>
          <w:szCs w:val="22"/>
          <w:u w:val="none"/>
        </w:rPr>
        <w:t>a journée de solidarité « prend la forme d’une journée supplément</w:t>
      </w:r>
      <w:r>
        <w:rPr>
          <w:b w:val="0"/>
          <w:color w:val="000000"/>
          <w:sz w:val="22"/>
          <w:szCs w:val="22"/>
          <w:u w:val="none"/>
        </w:rPr>
        <w:t xml:space="preserve">aire de travail non rémunérée » </w:t>
      </w:r>
    </w:p>
    <w:p w:rsidR="006B3A70" w:rsidRDefault="006B3A70" w:rsidP="00F54DDA">
      <w:pPr>
        <w:pStyle w:val="PucesCDG34"/>
        <w:numPr>
          <w:ilvl w:val="0"/>
          <w:numId w:val="0"/>
        </w:numPr>
        <w:ind w:left="142" w:hanging="142"/>
        <w:rPr>
          <w:b w:val="0"/>
          <w:color w:val="000000"/>
          <w:sz w:val="22"/>
          <w:szCs w:val="22"/>
          <w:u w:val="none"/>
        </w:rPr>
      </w:pPr>
      <w:r w:rsidRPr="006B3A70">
        <w:rPr>
          <w:b w:val="0"/>
          <w:color w:val="000000"/>
          <w:sz w:val="22"/>
          <w:szCs w:val="22"/>
          <w:u w:val="none"/>
        </w:rPr>
        <w:t>(</w:t>
      </w:r>
      <w:r w:rsidRPr="002E1D2C">
        <w:rPr>
          <w:i/>
          <w:color w:val="000000"/>
          <w:sz w:val="22"/>
          <w:szCs w:val="22"/>
          <w:u w:val="none"/>
        </w:rPr>
        <w:t>Article L3133-7 du code du travail</w:t>
      </w:r>
      <w:r w:rsidRPr="006B3A70">
        <w:rPr>
          <w:b w:val="0"/>
          <w:color w:val="000000"/>
          <w:sz w:val="22"/>
          <w:szCs w:val="22"/>
          <w:u w:val="none"/>
        </w:rPr>
        <w:t xml:space="preserve">). </w:t>
      </w:r>
    </w:p>
    <w:p w:rsidR="006B3A70" w:rsidRPr="006B3A70" w:rsidRDefault="006B3A70" w:rsidP="00F54DDA">
      <w:pPr>
        <w:pStyle w:val="PucesCDG34"/>
        <w:numPr>
          <w:ilvl w:val="0"/>
          <w:numId w:val="0"/>
        </w:numPr>
        <w:ind w:left="142" w:hanging="142"/>
        <w:rPr>
          <w:b w:val="0"/>
          <w:color w:val="000000"/>
          <w:sz w:val="12"/>
          <w:szCs w:val="12"/>
          <w:u w:val="none"/>
        </w:rPr>
      </w:pPr>
    </w:p>
    <w:p w:rsidR="006B3A70" w:rsidRDefault="006B3A70" w:rsidP="00F54DDA">
      <w:pPr>
        <w:pStyle w:val="PucesCDG34"/>
        <w:numPr>
          <w:ilvl w:val="0"/>
          <w:numId w:val="0"/>
        </w:numPr>
        <w:ind w:left="142" w:hanging="142"/>
        <w:rPr>
          <w:b w:val="0"/>
          <w:color w:val="000000"/>
          <w:sz w:val="22"/>
          <w:szCs w:val="22"/>
          <w:u w:val="none"/>
        </w:rPr>
      </w:pPr>
      <w:r w:rsidRPr="006B3A70">
        <w:rPr>
          <w:b w:val="0"/>
          <w:color w:val="000000"/>
          <w:sz w:val="22"/>
          <w:szCs w:val="22"/>
          <w:u w:val="none"/>
        </w:rPr>
        <w:t>Cette journée de solidarité est fixée par une délibérati</w:t>
      </w:r>
      <w:r w:rsidR="002E1D2C">
        <w:rPr>
          <w:b w:val="0"/>
          <w:color w:val="000000"/>
          <w:sz w:val="22"/>
          <w:szCs w:val="22"/>
          <w:u w:val="none"/>
        </w:rPr>
        <w:t>on de l’assemblée territoriale c</w:t>
      </w:r>
      <w:r w:rsidRPr="006B3A70">
        <w:rPr>
          <w:b w:val="0"/>
          <w:color w:val="000000"/>
          <w:sz w:val="22"/>
          <w:szCs w:val="22"/>
          <w:u w:val="none"/>
        </w:rPr>
        <w:t xml:space="preserve">ompétente </w:t>
      </w:r>
      <w:r>
        <w:rPr>
          <w:b w:val="0"/>
          <w:color w:val="000000"/>
          <w:sz w:val="22"/>
          <w:szCs w:val="22"/>
          <w:u w:val="none"/>
        </w:rPr>
        <w:t>après avis</w:t>
      </w:r>
    </w:p>
    <w:p w:rsidR="002E1D2C" w:rsidRDefault="006B3A70" w:rsidP="00F54DDA">
      <w:pPr>
        <w:pStyle w:val="PucesCDG34"/>
        <w:numPr>
          <w:ilvl w:val="0"/>
          <w:numId w:val="0"/>
        </w:numPr>
        <w:ind w:left="142" w:hanging="142"/>
        <w:rPr>
          <w:b w:val="0"/>
          <w:color w:val="000000"/>
          <w:sz w:val="22"/>
          <w:szCs w:val="22"/>
          <w:u w:val="none"/>
        </w:rPr>
      </w:pPr>
      <w:r w:rsidRPr="006B3A70">
        <w:rPr>
          <w:b w:val="0"/>
          <w:color w:val="000000"/>
          <w:sz w:val="22"/>
          <w:szCs w:val="22"/>
          <w:u w:val="none"/>
        </w:rPr>
        <w:t>du comité technique (</w:t>
      </w:r>
      <w:r w:rsidRPr="002E1D2C">
        <w:rPr>
          <w:i/>
          <w:color w:val="000000"/>
          <w:sz w:val="22"/>
          <w:szCs w:val="22"/>
          <w:u w:val="none"/>
        </w:rPr>
        <w:t>article L621-12 du code général de la  fonction publique</w:t>
      </w:r>
      <w:r w:rsidR="002E1D2C">
        <w:rPr>
          <w:b w:val="0"/>
          <w:color w:val="000000"/>
          <w:sz w:val="22"/>
          <w:szCs w:val="22"/>
          <w:u w:val="none"/>
        </w:rPr>
        <w:t>). Elle doit être instituée</w:t>
      </w:r>
    </w:p>
    <w:p w:rsidR="00DA05C6" w:rsidRPr="006B3A70" w:rsidRDefault="006B3A70" w:rsidP="00F54DDA">
      <w:pPr>
        <w:pStyle w:val="PucesCDG34"/>
        <w:numPr>
          <w:ilvl w:val="0"/>
          <w:numId w:val="0"/>
        </w:numPr>
        <w:ind w:left="142" w:hanging="142"/>
        <w:rPr>
          <w:b w:val="0"/>
          <w:color w:val="000000"/>
          <w:sz w:val="22"/>
          <w:szCs w:val="22"/>
          <w:u w:val="none"/>
        </w:rPr>
      </w:pPr>
      <w:r w:rsidRPr="006B3A70">
        <w:rPr>
          <w:b w:val="0"/>
          <w:color w:val="000000"/>
          <w:sz w:val="22"/>
          <w:szCs w:val="22"/>
          <w:u w:val="none"/>
        </w:rPr>
        <w:t>selon</w:t>
      </w:r>
      <w:r w:rsidR="002E1D2C">
        <w:rPr>
          <w:b w:val="0"/>
          <w:color w:val="000000"/>
          <w:sz w:val="22"/>
          <w:szCs w:val="22"/>
          <w:u w:val="none"/>
        </w:rPr>
        <w:t xml:space="preserve"> </w:t>
      </w:r>
      <w:r w:rsidRPr="006B3A70">
        <w:rPr>
          <w:b w:val="0"/>
          <w:color w:val="000000"/>
          <w:sz w:val="22"/>
          <w:szCs w:val="22"/>
          <w:u w:val="none"/>
        </w:rPr>
        <w:t>l’une des modalités suivantes (</w:t>
      </w:r>
      <w:r w:rsidRPr="002E1D2C">
        <w:rPr>
          <w:i/>
          <w:color w:val="000000"/>
          <w:sz w:val="22"/>
          <w:szCs w:val="22"/>
          <w:u w:val="none"/>
        </w:rPr>
        <w:t>article L621-11 du code général de la fonction publique</w:t>
      </w:r>
      <w:r w:rsidRPr="006B3A70">
        <w:rPr>
          <w:b w:val="0"/>
          <w:color w:val="000000"/>
          <w:sz w:val="22"/>
          <w:szCs w:val="22"/>
          <w:u w:val="none"/>
        </w:rPr>
        <w:t>) :</w:t>
      </w:r>
      <w:r w:rsidRPr="006B3A70">
        <w:rPr>
          <w:b w:val="0"/>
          <w:color w:val="000000"/>
          <w:sz w:val="22"/>
          <w:szCs w:val="22"/>
          <w:u w:val="none"/>
        </w:rPr>
        <w:br/>
        <w:t>- Soit le travail d’un jour férié précédemment chômé autre que le 1er mai</w:t>
      </w:r>
      <w:r w:rsidRPr="006B3A70">
        <w:rPr>
          <w:b w:val="0"/>
          <w:color w:val="000000"/>
          <w:sz w:val="22"/>
          <w:szCs w:val="22"/>
          <w:u w:val="none"/>
        </w:rPr>
        <w:br/>
        <w:t>- Soit le travail d’un jour de réduction du temps de travail tel que prévu par les règles en vigueur</w:t>
      </w:r>
      <w:r w:rsidRPr="006B3A70">
        <w:rPr>
          <w:b w:val="0"/>
          <w:color w:val="000000"/>
          <w:sz w:val="22"/>
          <w:szCs w:val="22"/>
          <w:u w:val="none"/>
        </w:rPr>
        <w:br/>
        <w:t>- Soit toute autre modalité permettant le travail de sept heures précédemment non travaillées, à l’exclusion des</w:t>
      </w:r>
      <w:r>
        <w:rPr>
          <w:b w:val="0"/>
          <w:color w:val="000000"/>
          <w:sz w:val="22"/>
          <w:szCs w:val="22"/>
          <w:u w:val="none"/>
        </w:rPr>
        <w:t xml:space="preserve"> </w:t>
      </w:r>
      <w:r w:rsidRPr="006B3A70">
        <w:rPr>
          <w:b w:val="0"/>
          <w:color w:val="000000"/>
          <w:sz w:val="22"/>
          <w:szCs w:val="22"/>
          <w:u w:val="none"/>
        </w:rPr>
        <w:t>jours de congé annuel</w:t>
      </w:r>
    </w:p>
    <w:p w:rsidR="00DA05C6" w:rsidRDefault="00DA05C6" w:rsidP="00F54DDA">
      <w:pPr>
        <w:pStyle w:val="PucesCDG34"/>
        <w:numPr>
          <w:ilvl w:val="0"/>
          <w:numId w:val="0"/>
        </w:numPr>
        <w:ind w:left="142" w:hanging="142"/>
        <w:rPr>
          <w:b w:val="0"/>
          <w:sz w:val="22"/>
          <w:szCs w:val="22"/>
          <w:u w:val="none"/>
        </w:rPr>
      </w:pPr>
    </w:p>
    <w:p w:rsidR="003E67F6" w:rsidRDefault="003E67F6" w:rsidP="00F54DDA">
      <w:pPr>
        <w:pStyle w:val="PucesCDG34"/>
        <w:numPr>
          <w:ilvl w:val="0"/>
          <w:numId w:val="0"/>
        </w:numPr>
        <w:ind w:left="142" w:hanging="142"/>
        <w:rPr>
          <w:b w:val="0"/>
          <w:sz w:val="22"/>
          <w:szCs w:val="22"/>
          <w:u w:val="none"/>
        </w:rPr>
      </w:pPr>
    </w:p>
    <w:p w:rsidR="003E67F6" w:rsidRPr="005C4A00" w:rsidRDefault="003E67F6" w:rsidP="003E67F6">
      <w:pPr>
        <w:pStyle w:val="PucesCDG34"/>
        <w:rPr>
          <w:highlight w:val="lightGray"/>
        </w:rPr>
      </w:pPr>
      <w:r w:rsidRPr="005C4A00">
        <w:rPr>
          <w:highlight w:val="lightGray"/>
        </w:rPr>
        <w:t>Régime indemnitaire des sous-filières médico-sociale et médico-technique ?</w:t>
      </w:r>
    </w:p>
    <w:p w:rsidR="008421E8" w:rsidRDefault="008421E8" w:rsidP="00F54DDA">
      <w:pPr>
        <w:pStyle w:val="PucesCDG34"/>
        <w:numPr>
          <w:ilvl w:val="0"/>
          <w:numId w:val="0"/>
        </w:numPr>
        <w:ind w:left="142" w:hanging="142"/>
      </w:pPr>
    </w:p>
    <w:p w:rsidR="008421E8" w:rsidRDefault="003E67F6" w:rsidP="00F54DDA">
      <w:pPr>
        <w:pStyle w:val="PucesCDG34"/>
        <w:numPr>
          <w:ilvl w:val="0"/>
          <w:numId w:val="0"/>
        </w:numPr>
        <w:ind w:left="142" w:hanging="142"/>
        <w:rPr>
          <w:bCs/>
          <w:color w:val="000000"/>
          <w:sz w:val="22"/>
          <w:szCs w:val="22"/>
          <w:u w:val="none"/>
        </w:rPr>
      </w:pPr>
      <w:r w:rsidRPr="003E67F6">
        <w:rPr>
          <w:b w:val="0"/>
          <w:color w:val="000000"/>
          <w:sz w:val="22"/>
          <w:szCs w:val="22"/>
          <w:u w:val="none"/>
        </w:rPr>
        <w:t>Un arrêté du 12 juillet 2022 prévoit une majoration exceptionnelle des taux de l’</w:t>
      </w:r>
      <w:r w:rsidRPr="003E67F6">
        <w:rPr>
          <w:bCs/>
          <w:color w:val="000000"/>
          <w:sz w:val="22"/>
          <w:szCs w:val="22"/>
          <w:u w:val="none"/>
        </w:rPr>
        <w:t xml:space="preserve">indemnité horaire pour </w:t>
      </w:r>
    </w:p>
    <w:p w:rsidR="003E67F6" w:rsidRDefault="003E67F6" w:rsidP="00F54DDA">
      <w:pPr>
        <w:pStyle w:val="PucesCDG34"/>
        <w:numPr>
          <w:ilvl w:val="0"/>
          <w:numId w:val="0"/>
        </w:numPr>
        <w:ind w:left="142" w:hanging="142"/>
        <w:rPr>
          <w:b w:val="0"/>
          <w:color w:val="000000"/>
          <w:sz w:val="22"/>
          <w:szCs w:val="22"/>
          <w:u w:val="none"/>
        </w:rPr>
      </w:pPr>
      <w:r w:rsidRPr="003E67F6">
        <w:rPr>
          <w:bCs/>
          <w:color w:val="000000"/>
          <w:sz w:val="22"/>
          <w:szCs w:val="22"/>
          <w:u w:val="none"/>
        </w:rPr>
        <w:t>travail normal</w:t>
      </w:r>
      <w:r>
        <w:rPr>
          <w:bCs/>
          <w:color w:val="000000"/>
          <w:sz w:val="22"/>
          <w:szCs w:val="22"/>
          <w:u w:val="none"/>
        </w:rPr>
        <w:t xml:space="preserve"> </w:t>
      </w:r>
      <w:r w:rsidRPr="003E67F6">
        <w:rPr>
          <w:bCs/>
          <w:color w:val="000000"/>
          <w:sz w:val="22"/>
          <w:szCs w:val="22"/>
          <w:u w:val="none"/>
        </w:rPr>
        <w:t xml:space="preserve">de nuit et de la majoration pour travail intensif </w:t>
      </w:r>
      <w:r w:rsidRPr="003E67F6">
        <w:rPr>
          <w:b w:val="0"/>
          <w:color w:val="000000"/>
          <w:sz w:val="22"/>
          <w:szCs w:val="22"/>
          <w:u w:val="none"/>
        </w:rPr>
        <w:t>dans la fonction publique hospitalière.</w:t>
      </w:r>
    </w:p>
    <w:p w:rsidR="003E67F6" w:rsidRDefault="003E67F6" w:rsidP="00F54DDA">
      <w:pPr>
        <w:pStyle w:val="PucesCDG34"/>
        <w:numPr>
          <w:ilvl w:val="0"/>
          <w:numId w:val="0"/>
        </w:numPr>
        <w:ind w:left="142" w:hanging="142"/>
        <w:rPr>
          <w:b w:val="0"/>
          <w:color w:val="5F5F5F"/>
          <w:sz w:val="22"/>
          <w:szCs w:val="22"/>
          <w:u w:val="none"/>
        </w:rPr>
      </w:pPr>
      <w:r w:rsidRPr="003E67F6">
        <w:rPr>
          <w:b w:val="0"/>
          <w:color w:val="000000"/>
          <w:sz w:val="22"/>
          <w:szCs w:val="22"/>
          <w:u w:val="none"/>
        </w:rPr>
        <w:t xml:space="preserve">Pour la période comprise </w:t>
      </w:r>
      <w:r w:rsidRPr="003E67F6">
        <w:rPr>
          <w:bCs/>
          <w:color w:val="000000"/>
          <w:sz w:val="22"/>
          <w:szCs w:val="22"/>
          <w:u w:val="none"/>
        </w:rPr>
        <w:t>entre le 1er juillet et le 30 septembre 2022</w:t>
      </w:r>
      <w:r w:rsidRPr="003E67F6">
        <w:rPr>
          <w:b w:val="0"/>
          <w:color w:val="000000"/>
          <w:sz w:val="22"/>
          <w:szCs w:val="22"/>
          <w:u w:val="none"/>
        </w:rPr>
        <w:t xml:space="preserve">, les taux sont </w:t>
      </w:r>
      <w:r w:rsidRPr="003E67F6">
        <w:rPr>
          <w:bCs/>
          <w:color w:val="000000"/>
          <w:sz w:val="22"/>
          <w:szCs w:val="22"/>
          <w:u w:val="none"/>
        </w:rPr>
        <w:t xml:space="preserve">doublés </w:t>
      </w:r>
      <w:r w:rsidRPr="003E67F6">
        <w:rPr>
          <w:b w:val="0"/>
          <w:color w:val="000000"/>
          <w:sz w:val="22"/>
          <w:szCs w:val="22"/>
          <w:u w:val="none"/>
        </w:rPr>
        <w:t xml:space="preserve">pour être portés </w:t>
      </w:r>
      <w:proofErr w:type="gramStart"/>
      <w:r w:rsidRPr="003E67F6">
        <w:rPr>
          <w:b w:val="0"/>
          <w:color w:val="000000"/>
          <w:sz w:val="22"/>
          <w:szCs w:val="22"/>
          <w:u w:val="none"/>
        </w:rPr>
        <w:t>:</w:t>
      </w:r>
      <w:proofErr w:type="gramEnd"/>
      <w:r w:rsidRPr="003E67F6">
        <w:rPr>
          <w:b w:val="0"/>
          <w:color w:val="000000"/>
          <w:sz w:val="22"/>
          <w:szCs w:val="22"/>
          <w:u w:val="none"/>
        </w:rPr>
        <w:br/>
        <w:t xml:space="preserve">• à </w:t>
      </w:r>
      <w:r w:rsidRPr="003E67F6">
        <w:rPr>
          <w:bCs/>
          <w:color w:val="000000"/>
          <w:sz w:val="22"/>
          <w:szCs w:val="22"/>
          <w:u w:val="none"/>
        </w:rPr>
        <w:t xml:space="preserve">0,34 € </w:t>
      </w:r>
      <w:r w:rsidRPr="003E67F6">
        <w:rPr>
          <w:b w:val="0"/>
          <w:color w:val="000000"/>
          <w:sz w:val="22"/>
          <w:szCs w:val="22"/>
          <w:u w:val="none"/>
        </w:rPr>
        <w:t>par heure (au lieu de 0,17 €) pour le travail normal de nuit ;</w:t>
      </w:r>
      <w:r w:rsidRPr="003E67F6">
        <w:rPr>
          <w:b w:val="0"/>
          <w:color w:val="000000"/>
          <w:sz w:val="22"/>
          <w:szCs w:val="22"/>
          <w:u w:val="none"/>
        </w:rPr>
        <w:br/>
        <w:t xml:space="preserve">• à </w:t>
      </w:r>
      <w:r w:rsidRPr="003E67F6">
        <w:rPr>
          <w:bCs/>
          <w:color w:val="000000"/>
          <w:sz w:val="22"/>
          <w:szCs w:val="22"/>
          <w:u w:val="none"/>
        </w:rPr>
        <w:t xml:space="preserve">1,80 € </w:t>
      </w:r>
      <w:r w:rsidRPr="003E67F6">
        <w:rPr>
          <w:b w:val="0"/>
          <w:color w:val="000000"/>
          <w:sz w:val="22"/>
          <w:szCs w:val="22"/>
          <w:u w:val="none"/>
        </w:rPr>
        <w:t>(au lieu de 0,90 €) pour la majoration en cas de travail intensif.</w:t>
      </w:r>
      <w:r w:rsidRPr="003E67F6">
        <w:rPr>
          <w:b w:val="0"/>
          <w:color w:val="000000"/>
          <w:sz w:val="22"/>
          <w:szCs w:val="22"/>
          <w:u w:val="none"/>
        </w:rPr>
        <w:br/>
      </w:r>
    </w:p>
    <w:p w:rsidR="00DA05C6" w:rsidRPr="003E67F6" w:rsidRDefault="003E67F6" w:rsidP="00F54DDA">
      <w:pPr>
        <w:pStyle w:val="PucesCDG34"/>
        <w:numPr>
          <w:ilvl w:val="0"/>
          <w:numId w:val="0"/>
        </w:numPr>
        <w:ind w:left="142" w:hanging="142"/>
        <w:rPr>
          <w:sz w:val="22"/>
          <w:szCs w:val="22"/>
        </w:rPr>
      </w:pPr>
      <w:r w:rsidRPr="003E67F6">
        <w:rPr>
          <w:color w:val="5F5F5F"/>
          <w:sz w:val="22"/>
          <w:szCs w:val="22"/>
          <w:u w:val="none"/>
        </w:rPr>
        <w:sym w:font="Wingdings" w:char="F0C4"/>
      </w:r>
      <w:r w:rsidRPr="003E67F6">
        <w:rPr>
          <w:b w:val="0"/>
          <w:color w:val="5F5F5F"/>
          <w:sz w:val="22"/>
          <w:szCs w:val="22"/>
          <w:u w:val="none"/>
        </w:rPr>
        <w:t xml:space="preserve"> </w:t>
      </w:r>
      <w:r w:rsidRPr="003E67F6">
        <w:rPr>
          <w:i/>
          <w:iCs/>
          <w:sz w:val="22"/>
          <w:szCs w:val="22"/>
          <w:u w:val="none"/>
        </w:rPr>
        <w:t>Arrêté du 12 juillet 2022</w:t>
      </w:r>
      <w:r w:rsidRPr="003E67F6">
        <w:rPr>
          <w:b w:val="0"/>
          <w:i/>
          <w:iCs/>
          <w:sz w:val="22"/>
          <w:szCs w:val="22"/>
          <w:u w:val="none"/>
        </w:rPr>
        <w:t xml:space="preserve"> </w:t>
      </w:r>
      <w:r w:rsidRPr="003E67F6">
        <w:rPr>
          <w:b w:val="0"/>
          <w:i/>
          <w:iCs/>
          <w:color w:val="5F5F5F"/>
          <w:sz w:val="22"/>
          <w:szCs w:val="22"/>
          <w:u w:val="none"/>
        </w:rPr>
        <w:t>publié au Journal officiel 14 juillet 2022</w:t>
      </w:r>
    </w:p>
    <w:p w:rsidR="00DA05C6" w:rsidRDefault="00DA05C6">
      <w:pPr>
        <w:pStyle w:val="PucesCDG34"/>
        <w:numPr>
          <w:ilvl w:val="0"/>
          <w:numId w:val="0"/>
        </w:numPr>
        <w:ind w:left="142" w:hanging="142"/>
      </w:pPr>
    </w:p>
    <w:p w:rsidR="003E67F6" w:rsidRDefault="00F773E9" w:rsidP="003E67F6">
      <w:pPr>
        <w:pStyle w:val="PucesCDG34"/>
        <w:numPr>
          <w:ilvl w:val="0"/>
          <w:numId w:val="0"/>
        </w:numPr>
        <w:rPr>
          <w:b w:val="0"/>
          <w:sz w:val="22"/>
          <w:szCs w:val="22"/>
          <w:u w:val="none"/>
        </w:rPr>
      </w:pPr>
      <w:r>
        <w:rPr>
          <w:sz w:val="22"/>
          <w:szCs w:val="22"/>
        </w:rPr>
        <w:t>E</w:t>
      </w:r>
      <w:r w:rsidR="003E67F6" w:rsidRPr="003E67F6">
        <w:rPr>
          <w:sz w:val="22"/>
          <w:szCs w:val="22"/>
        </w:rPr>
        <w:t>clairage</w:t>
      </w:r>
      <w:r w:rsidR="003E67F6">
        <w:rPr>
          <w:b w:val="0"/>
          <w:sz w:val="22"/>
          <w:szCs w:val="22"/>
          <w:u w:val="none"/>
        </w:rPr>
        <w:t> :</w:t>
      </w:r>
      <w:r w:rsidR="003E67F6" w:rsidRPr="003E67F6">
        <w:rPr>
          <w:b w:val="0"/>
          <w:sz w:val="22"/>
          <w:szCs w:val="22"/>
          <w:u w:val="none"/>
        </w:rPr>
        <w:br/>
        <w:t xml:space="preserve">Pour rappel, dans la mesure où les corps paramédicaux de l’Etat </w:t>
      </w:r>
      <w:r w:rsidR="003E67F6" w:rsidRPr="008421E8">
        <w:rPr>
          <w:sz w:val="22"/>
          <w:szCs w:val="22"/>
          <w:u w:val="none"/>
        </w:rPr>
        <w:t>pris en référence</w:t>
      </w:r>
      <w:r w:rsidR="003E67F6" w:rsidRPr="003E67F6">
        <w:rPr>
          <w:b w:val="0"/>
          <w:sz w:val="22"/>
          <w:szCs w:val="22"/>
          <w:u w:val="none"/>
        </w:rPr>
        <w:t xml:space="preserve"> sont éligibles à cette</w:t>
      </w:r>
      <w:r w:rsidR="003E67F6" w:rsidRPr="003E67F6">
        <w:rPr>
          <w:b w:val="0"/>
          <w:sz w:val="22"/>
          <w:szCs w:val="22"/>
          <w:u w:val="none"/>
        </w:rPr>
        <w:br/>
        <w:t xml:space="preserve">prime de la FPH (décret n° 98-1057 du 16 novembre 1998), </w:t>
      </w:r>
      <w:r w:rsidR="003E67F6" w:rsidRPr="003E67F6">
        <w:rPr>
          <w:b w:val="0"/>
          <w:bCs/>
          <w:sz w:val="22"/>
          <w:szCs w:val="22"/>
          <w:u w:val="none"/>
        </w:rPr>
        <w:t>sont susceptibles d’être concernés par cette</w:t>
      </w:r>
      <w:r w:rsidR="003E67F6" w:rsidRPr="003E67F6">
        <w:rPr>
          <w:b w:val="0"/>
          <w:bCs/>
          <w:sz w:val="22"/>
          <w:szCs w:val="22"/>
          <w:u w:val="none"/>
        </w:rPr>
        <w:br/>
        <w:t xml:space="preserve">majoration exceptionnelle </w:t>
      </w:r>
      <w:r w:rsidR="003E67F6" w:rsidRPr="003E67F6">
        <w:rPr>
          <w:b w:val="0"/>
          <w:sz w:val="22"/>
          <w:szCs w:val="22"/>
          <w:u w:val="none"/>
        </w:rPr>
        <w:t>(selon la rédaction de la délibération portant transposition dans la collectivité),</w:t>
      </w:r>
      <w:r w:rsidR="003E67F6" w:rsidRPr="003E67F6">
        <w:rPr>
          <w:b w:val="0"/>
          <w:sz w:val="22"/>
          <w:szCs w:val="22"/>
          <w:u w:val="none"/>
        </w:rPr>
        <w:br/>
        <w:t xml:space="preserve">les </w:t>
      </w:r>
      <w:r w:rsidR="003E67F6" w:rsidRPr="003E67F6">
        <w:rPr>
          <w:b w:val="0"/>
          <w:bCs/>
          <w:sz w:val="22"/>
          <w:szCs w:val="22"/>
          <w:u w:val="none"/>
        </w:rPr>
        <w:t>cadres d’emplois territoriaux suivants</w:t>
      </w:r>
      <w:r w:rsidR="00D2376C">
        <w:rPr>
          <w:b w:val="0"/>
          <w:bCs/>
          <w:sz w:val="22"/>
          <w:szCs w:val="22"/>
          <w:u w:val="none"/>
        </w:rPr>
        <w:t> :</w:t>
      </w:r>
      <w:r w:rsidR="001528CE">
        <w:rPr>
          <w:b w:val="0"/>
          <w:sz w:val="22"/>
          <w:szCs w:val="22"/>
          <w:u w:val="none"/>
        </w:rPr>
        <w:t xml:space="preserve"> aides-soignants, auxiliaires de puériculture, auxiliaires de soins, techniciens paramédicaux, </w:t>
      </w:r>
      <w:r w:rsidR="003E67F6" w:rsidRPr="003E67F6">
        <w:rPr>
          <w:b w:val="0"/>
          <w:sz w:val="22"/>
          <w:szCs w:val="22"/>
          <w:u w:val="none"/>
        </w:rPr>
        <w:t xml:space="preserve"> pédicures-podologues, ergothérapeutes, psychomotriciens, orthoptistes, techniciens de laboratoire</w:t>
      </w:r>
      <w:r w:rsidR="001528CE">
        <w:rPr>
          <w:b w:val="0"/>
          <w:sz w:val="22"/>
          <w:szCs w:val="22"/>
          <w:u w:val="none"/>
        </w:rPr>
        <w:t xml:space="preserve"> </w:t>
      </w:r>
      <w:r w:rsidR="003E67F6" w:rsidRPr="003E67F6">
        <w:rPr>
          <w:b w:val="0"/>
          <w:sz w:val="22"/>
          <w:szCs w:val="22"/>
          <w:u w:val="none"/>
        </w:rPr>
        <w:t>médical, manipulateurs d’électroradiologie médicale, préparateurs en pharmacie hospitalière et</w:t>
      </w:r>
      <w:r w:rsidR="001528CE">
        <w:rPr>
          <w:b w:val="0"/>
          <w:sz w:val="22"/>
          <w:szCs w:val="22"/>
          <w:u w:val="none"/>
        </w:rPr>
        <w:t xml:space="preserve"> diététiciens, </w:t>
      </w:r>
      <w:r w:rsidR="003E67F6" w:rsidRPr="003E67F6">
        <w:rPr>
          <w:b w:val="0"/>
          <w:sz w:val="22"/>
          <w:szCs w:val="22"/>
          <w:u w:val="none"/>
        </w:rPr>
        <w:t xml:space="preserve"> masseurs-kinés</w:t>
      </w:r>
      <w:r w:rsidR="001528CE">
        <w:rPr>
          <w:b w:val="0"/>
          <w:sz w:val="22"/>
          <w:szCs w:val="22"/>
          <w:u w:val="none"/>
        </w:rPr>
        <w:t xml:space="preserve">ithérapeutes et orthophonistes, infirmiers, infirmiers en soins généraux, puéricultrices, sages-femmes, </w:t>
      </w:r>
      <w:r w:rsidR="003E67F6" w:rsidRPr="003E67F6">
        <w:rPr>
          <w:b w:val="0"/>
          <w:sz w:val="22"/>
          <w:szCs w:val="22"/>
          <w:u w:val="none"/>
        </w:rPr>
        <w:t>cadres de santé paramédicaux.</w:t>
      </w:r>
    </w:p>
    <w:p w:rsidR="003E67F6" w:rsidRDefault="003E67F6" w:rsidP="003E67F6">
      <w:pPr>
        <w:pStyle w:val="PucesCDG34"/>
        <w:numPr>
          <w:ilvl w:val="0"/>
          <w:numId w:val="0"/>
        </w:numPr>
        <w:rPr>
          <w:sz w:val="22"/>
          <w:szCs w:val="22"/>
          <w:u w:val="none"/>
        </w:rPr>
      </w:pPr>
      <w:r w:rsidRPr="003E67F6">
        <w:rPr>
          <w:b w:val="0"/>
          <w:sz w:val="22"/>
          <w:szCs w:val="22"/>
          <w:u w:val="none"/>
        </w:rPr>
        <w:br/>
      </w:r>
      <w:r w:rsidRPr="003E67F6">
        <w:rPr>
          <w:sz w:val="22"/>
          <w:szCs w:val="22"/>
          <w:u w:val="none"/>
        </w:rPr>
        <w:t xml:space="preserve">L’indemnité horaire pour travail normal de nuit et la majoration pour travail intensif sont cumulables avec le </w:t>
      </w:r>
      <w:r w:rsidRPr="003E67F6">
        <w:rPr>
          <w:bCs/>
          <w:sz w:val="22"/>
          <w:szCs w:val="22"/>
          <w:u w:val="none"/>
        </w:rPr>
        <w:t>régime indemnitaire tenant compte des fonctions, des sujétions, de l’expertise et de l’engagement</w:t>
      </w:r>
      <w:r>
        <w:rPr>
          <w:bCs/>
          <w:sz w:val="22"/>
          <w:szCs w:val="22"/>
          <w:u w:val="none"/>
        </w:rPr>
        <w:t xml:space="preserve"> </w:t>
      </w:r>
      <w:r w:rsidRPr="003E67F6">
        <w:rPr>
          <w:bCs/>
          <w:sz w:val="22"/>
          <w:szCs w:val="22"/>
          <w:u w:val="none"/>
        </w:rPr>
        <w:t xml:space="preserve">professionnel </w:t>
      </w:r>
      <w:r w:rsidRPr="003E67F6">
        <w:rPr>
          <w:sz w:val="22"/>
          <w:szCs w:val="22"/>
          <w:u w:val="none"/>
        </w:rPr>
        <w:t>(RIFSEEP).</w:t>
      </w:r>
    </w:p>
    <w:p w:rsidR="00DD49D7" w:rsidRDefault="00DD49D7" w:rsidP="003E67F6">
      <w:pPr>
        <w:pStyle w:val="PucesCDG34"/>
        <w:numPr>
          <w:ilvl w:val="0"/>
          <w:numId w:val="0"/>
        </w:numPr>
        <w:rPr>
          <w:sz w:val="22"/>
          <w:szCs w:val="22"/>
          <w:u w:val="none"/>
        </w:rPr>
      </w:pPr>
    </w:p>
    <w:p w:rsidR="00DD49D7" w:rsidRDefault="00DD49D7" w:rsidP="003E67F6">
      <w:pPr>
        <w:pStyle w:val="PucesCDG34"/>
        <w:numPr>
          <w:ilvl w:val="0"/>
          <w:numId w:val="0"/>
        </w:numPr>
        <w:rPr>
          <w:sz w:val="22"/>
          <w:szCs w:val="22"/>
          <w:u w:val="none"/>
        </w:rPr>
      </w:pPr>
    </w:p>
    <w:p w:rsidR="00DD49D7" w:rsidRDefault="00DD49D7" w:rsidP="00DD49D7">
      <w:pPr>
        <w:pStyle w:val="PucesCDG34"/>
      </w:pPr>
      <w:r w:rsidRPr="005C4A00">
        <w:rPr>
          <w:highlight w:val="lightGray"/>
        </w:rPr>
        <w:t>Les représentants de la formation spécialisée du comité social territorial (CST) doivent-ils être uniquement désignés parmi les représentants titulaires au CST</w:t>
      </w:r>
      <w:r>
        <w:t> ?</w:t>
      </w:r>
    </w:p>
    <w:p w:rsidR="00DD49D7" w:rsidRDefault="00DD49D7" w:rsidP="003E67F6">
      <w:pPr>
        <w:pStyle w:val="PucesCDG34"/>
        <w:numPr>
          <w:ilvl w:val="0"/>
          <w:numId w:val="0"/>
        </w:numPr>
        <w:rPr>
          <w:rFonts w:ascii="Arial-BoldMT" w:hAnsi="Arial-BoldMT" w:cs="Times New Roman"/>
          <w:bCs/>
          <w:color w:val="000000"/>
          <w:sz w:val="20"/>
          <w:szCs w:val="20"/>
          <w:u w:val="none"/>
        </w:rPr>
      </w:pPr>
    </w:p>
    <w:p w:rsidR="00DD49D7" w:rsidRPr="00884E7B" w:rsidRDefault="00DD49D7" w:rsidP="003E67F6">
      <w:pPr>
        <w:pStyle w:val="PucesCDG34"/>
        <w:numPr>
          <w:ilvl w:val="0"/>
          <w:numId w:val="0"/>
        </w:numPr>
        <w:rPr>
          <w:b w:val="0"/>
          <w:color w:val="000000"/>
          <w:sz w:val="22"/>
          <w:szCs w:val="22"/>
          <w:u w:val="none"/>
        </w:rPr>
      </w:pPr>
      <w:r w:rsidRPr="00884E7B">
        <w:rPr>
          <w:bCs/>
          <w:color w:val="000000"/>
          <w:sz w:val="22"/>
          <w:szCs w:val="22"/>
          <w:u w:val="none"/>
        </w:rPr>
        <w:t>NON, l</w:t>
      </w:r>
      <w:r w:rsidRPr="00884E7B">
        <w:rPr>
          <w:b w:val="0"/>
          <w:color w:val="000000"/>
          <w:sz w:val="22"/>
          <w:szCs w:val="22"/>
          <w:u w:val="none"/>
        </w:rPr>
        <w:t>es représentants du personnel titulaires siégeant au sein de la formation spécialisée du CST sont désignés</w:t>
      </w:r>
      <w:r w:rsidR="00884E7B">
        <w:rPr>
          <w:b w:val="0"/>
          <w:color w:val="000000"/>
          <w:sz w:val="22"/>
          <w:szCs w:val="22"/>
          <w:u w:val="none"/>
        </w:rPr>
        <w:t xml:space="preserve"> </w:t>
      </w:r>
      <w:r w:rsidRPr="00884E7B">
        <w:rPr>
          <w:b w:val="0"/>
          <w:color w:val="000000"/>
          <w:sz w:val="22"/>
          <w:szCs w:val="22"/>
          <w:u w:val="none"/>
        </w:rPr>
        <w:t>parmi les représentants du personnel, titulaires ou suppléants, du CST.</w:t>
      </w:r>
    </w:p>
    <w:p w:rsidR="00DD49D7" w:rsidRPr="00884E7B" w:rsidRDefault="00DD49D7" w:rsidP="003E67F6">
      <w:pPr>
        <w:pStyle w:val="PucesCDG34"/>
        <w:numPr>
          <w:ilvl w:val="0"/>
          <w:numId w:val="0"/>
        </w:numPr>
        <w:rPr>
          <w:sz w:val="22"/>
          <w:szCs w:val="22"/>
          <w:u w:val="none"/>
        </w:rPr>
      </w:pPr>
      <w:r w:rsidRPr="00884E7B">
        <w:rPr>
          <w:b w:val="0"/>
          <w:color w:val="000000"/>
          <w:sz w:val="22"/>
          <w:szCs w:val="22"/>
          <w:u w:val="none"/>
        </w:rPr>
        <w:br/>
        <w:t>Les suppléants de la formation spécialisée sont désignés librement par les organisations syndicales siégeant au CST</w:t>
      </w:r>
      <w:r w:rsidR="00884E7B">
        <w:rPr>
          <w:b w:val="0"/>
          <w:color w:val="000000"/>
          <w:sz w:val="22"/>
          <w:szCs w:val="22"/>
          <w:u w:val="none"/>
        </w:rPr>
        <w:t xml:space="preserve"> </w:t>
      </w:r>
      <w:r w:rsidRPr="00884E7B">
        <w:rPr>
          <w:b w:val="0"/>
          <w:color w:val="000000"/>
          <w:sz w:val="22"/>
          <w:szCs w:val="22"/>
          <w:u w:val="none"/>
        </w:rPr>
        <w:t>(</w:t>
      </w:r>
      <w:r w:rsidRPr="00884E7B">
        <w:rPr>
          <w:i/>
          <w:color w:val="000000"/>
          <w:sz w:val="22"/>
          <w:szCs w:val="22"/>
          <w:u w:val="none"/>
        </w:rPr>
        <w:t>article L252-9 du Code général de la fonction publique – Titre V du Livre II dudit code ; II de l’article 7 de l’ordonnance</w:t>
      </w:r>
      <w:r w:rsidR="00884E7B" w:rsidRPr="00884E7B">
        <w:rPr>
          <w:i/>
          <w:color w:val="000000"/>
          <w:sz w:val="22"/>
          <w:szCs w:val="22"/>
          <w:u w:val="none"/>
        </w:rPr>
        <w:t xml:space="preserve"> </w:t>
      </w:r>
      <w:r w:rsidRPr="00884E7B">
        <w:rPr>
          <w:i/>
          <w:color w:val="000000"/>
          <w:sz w:val="22"/>
          <w:szCs w:val="22"/>
          <w:u w:val="none"/>
        </w:rPr>
        <w:t>n° 2021-1574 du 24 novembre 2021</w:t>
      </w:r>
      <w:r w:rsidRPr="00884E7B">
        <w:rPr>
          <w:b w:val="0"/>
          <w:color w:val="000000"/>
          <w:sz w:val="22"/>
          <w:szCs w:val="22"/>
          <w:u w:val="none"/>
        </w:rPr>
        <w:t>).</w:t>
      </w:r>
    </w:p>
    <w:p w:rsidR="00DD49D7" w:rsidRDefault="00DD49D7" w:rsidP="003E67F6">
      <w:pPr>
        <w:pStyle w:val="PucesCDG34"/>
        <w:numPr>
          <w:ilvl w:val="0"/>
          <w:numId w:val="0"/>
        </w:numPr>
        <w:rPr>
          <w:sz w:val="22"/>
          <w:szCs w:val="22"/>
          <w:u w:val="none"/>
        </w:rPr>
      </w:pPr>
    </w:p>
    <w:p w:rsidR="001C433E" w:rsidRPr="003E67F6" w:rsidRDefault="001C433E" w:rsidP="003E67F6">
      <w:pPr>
        <w:pStyle w:val="PucesCDG34"/>
        <w:numPr>
          <w:ilvl w:val="0"/>
          <w:numId w:val="0"/>
        </w:numPr>
        <w:rPr>
          <w:sz w:val="22"/>
          <w:szCs w:val="22"/>
          <w:u w:val="none"/>
        </w:rPr>
      </w:pPr>
      <w:bookmarkStart w:id="2" w:name="_GoBack"/>
      <w:bookmarkEnd w:id="2"/>
    </w:p>
    <w:sectPr w:rsidR="001C433E" w:rsidRPr="003E67F6" w:rsidSect="003B1971">
      <w:footerReference w:type="default" r:id="rId10"/>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A8" w:rsidRDefault="00C858A8" w:rsidP="00420E31">
      <w:r>
        <w:separator/>
      </w:r>
    </w:p>
  </w:endnote>
  <w:endnote w:type="continuationSeparator" w:id="0">
    <w:p w:rsidR="00C858A8" w:rsidRDefault="00C858A8" w:rsidP="0042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31" w:rsidRPr="00EE3910" w:rsidRDefault="00420E31" w:rsidP="00420E31">
    <w:pPr>
      <w:pStyle w:val="Pieddepage"/>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A8" w:rsidRDefault="00C858A8" w:rsidP="00420E31">
      <w:r>
        <w:separator/>
      </w:r>
    </w:p>
  </w:footnote>
  <w:footnote w:type="continuationSeparator" w:id="0">
    <w:p w:rsidR="00C858A8" w:rsidRDefault="00C858A8" w:rsidP="00420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2.25pt;height:84.75pt" o:bullet="t">
        <v:imagedata r:id="rId1" o:title="20111212_CDG_APLAT LOGO"/>
      </v:shape>
    </w:pict>
  </w:numPicBullet>
  <w:abstractNum w:abstractNumId="0" w15:restartNumberingAfterBreak="0">
    <w:nsid w:val="01BE1638"/>
    <w:multiLevelType w:val="multilevel"/>
    <w:tmpl w:val="AB88FE1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0C2190"/>
    <w:multiLevelType w:val="multilevel"/>
    <w:tmpl w:val="9A0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F18E0"/>
    <w:multiLevelType w:val="hybridMultilevel"/>
    <w:tmpl w:val="0414BF44"/>
    <w:lvl w:ilvl="0" w:tplc="514AF326">
      <w:start w:val="1"/>
      <w:numFmt w:val="decimal"/>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AD07D1"/>
    <w:multiLevelType w:val="multilevel"/>
    <w:tmpl w:val="3DEE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81C44"/>
    <w:multiLevelType w:val="hybridMultilevel"/>
    <w:tmpl w:val="1326EDD6"/>
    <w:lvl w:ilvl="0" w:tplc="51F23D20">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B321CC"/>
    <w:multiLevelType w:val="multilevel"/>
    <w:tmpl w:val="8D6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542B9"/>
    <w:multiLevelType w:val="multilevel"/>
    <w:tmpl w:val="DC16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22709"/>
    <w:multiLevelType w:val="multilevel"/>
    <w:tmpl w:val="843C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A0AEB"/>
    <w:multiLevelType w:val="hybridMultilevel"/>
    <w:tmpl w:val="881AECBE"/>
    <w:lvl w:ilvl="0" w:tplc="D59659C8">
      <w:start w:val="1"/>
      <w:numFmt w:val="bullet"/>
      <w:pStyle w:val="PucesCDG34"/>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31"/>
    <w:rsid w:val="000136E2"/>
    <w:rsid w:val="00025CFD"/>
    <w:rsid w:val="00027C2D"/>
    <w:rsid w:val="0003324A"/>
    <w:rsid w:val="00060019"/>
    <w:rsid w:val="00083030"/>
    <w:rsid w:val="000C1316"/>
    <w:rsid w:val="000C311D"/>
    <w:rsid w:val="00130ACE"/>
    <w:rsid w:val="001528CE"/>
    <w:rsid w:val="0017177D"/>
    <w:rsid w:val="001C433E"/>
    <w:rsid w:val="001E5F66"/>
    <w:rsid w:val="002626C3"/>
    <w:rsid w:val="0028669A"/>
    <w:rsid w:val="002A65C8"/>
    <w:rsid w:val="002E1D2C"/>
    <w:rsid w:val="003049FE"/>
    <w:rsid w:val="00322670"/>
    <w:rsid w:val="00372EF9"/>
    <w:rsid w:val="00384521"/>
    <w:rsid w:val="003B1971"/>
    <w:rsid w:val="003B3E41"/>
    <w:rsid w:val="003D79FF"/>
    <w:rsid w:val="003E67F6"/>
    <w:rsid w:val="00420E31"/>
    <w:rsid w:val="00503C29"/>
    <w:rsid w:val="00504F34"/>
    <w:rsid w:val="005418E7"/>
    <w:rsid w:val="00586E77"/>
    <w:rsid w:val="005B1ABA"/>
    <w:rsid w:val="005C4A00"/>
    <w:rsid w:val="006503EF"/>
    <w:rsid w:val="00675FCB"/>
    <w:rsid w:val="006B3A70"/>
    <w:rsid w:val="006C38AC"/>
    <w:rsid w:val="007136FE"/>
    <w:rsid w:val="00753B2B"/>
    <w:rsid w:val="00760593"/>
    <w:rsid w:val="0076301F"/>
    <w:rsid w:val="00767731"/>
    <w:rsid w:val="007A3343"/>
    <w:rsid w:val="007B570D"/>
    <w:rsid w:val="007F4531"/>
    <w:rsid w:val="007F4A50"/>
    <w:rsid w:val="008020FA"/>
    <w:rsid w:val="008421E8"/>
    <w:rsid w:val="00884E7B"/>
    <w:rsid w:val="008C596E"/>
    <w:rsid w:val="008D24DA"/>
    <w:rsid w:val="008E44C1"/>
    <w:rsid w:val="008E637B"/>
    <w:rsid w:val="00902B4F"/>
    <w:rsid w:val="0093259A"/>
    <w:rsid w:val="00946F13"/>
    <w:rsid w:val="00961951"/>
    <w:rsid w:val="009630D1"/>
    <w:rsid w:val="009C6736"/>
    <w:rsid w:val="00A57310"/>
    <w:rsid w:val="00A77CFE"/>
    <w:rsid w:val="00A939B3"/>
    <w:rsid w:val="00AD5B39"/>
    <w:rsid w:val="00B02F13"/>
    <w:rsid w:val="00B11CD5"/>
    <w:rsid w:val="00B225A3"/>
    <w:rsid w:val="00B2433C"/>
    <w:rsid w:val="00B51C3A"/>
    <w:rsid w:val="00B759DD"/>
    <w:rsid w:val="00B84658"/>
    <w:rsid w:val="00BA3F5B"/>
    <w:rsid w:val="00BC2313"/>
    <w:rsid w:val="00C858A8"/>
    <w:rsid w:val="00CC6A9D"/>
    <w:rsid w:val="00CD0283"/>
    <w:rsid w:val="00CD64C8"/>
    <w:rsid w:val="00D2376C"/>
    <w:rsid w:val="00D43B32"/>
    <w:rsid w:val="00DA05C6"/>
    <w:rsid w:val="00DD49D7"/>
    <w:rsid w:val="00E1593C"/>
    <w:rsid w:val="00E42AE2"/>
    <w:rsid w:val="00E447ED"/>
    <w:rsid w:val="00E706FB"/>
    <w:rsid w:val="00E818C1"/>
    <w:rsid w:val="00EC0BBD"/>
    <w:rsid w:val="00EE3910"/>
    <w:rsid w:val="00EE3E70"/>
    <w:rsid w:val="00EE5479"/>
    <w:rsid w:val="00EF616B"/>
    <w:rsid w:val="00F51EDD"/>
    <w:rsid w:val="00F54DDA"/>
    <w:rsid w:val="00F564D2"/>
    <w:rsid w:val="00F76A5A"/>
    <w:rsid w:val="00F773E9"/>
    <w:rsid w:val="00FC1BB7"/>
    <w:rsid w:val="00FD3518"/>
    <w:rsid w:val="00FE33D8"/>
    <w:rsid w:val="00FE4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CB1DA-3600-4851-91DF-AAB387E5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521"/>
    <w:rPr>
      <w:rFonts w:asciiTheme="minorHAnsi" w:hAnsiTheme="minorHAnsi"/>
      <w:sz w:val="24"/>
      <w:szCs w:val="24"/>
    </w:rPr>
  </w:style>
  <w:style w:type="paragraph" w:styleId="Titre1">
    <w:name w:val="heading 1"/>
    <w:basedOn w:val="Normal"/>
    <w:next w:val="Normal"/>
    <w:link w:val="Titre1Car"/>
    <w:autoRedefine/>
    <w:uiPriority w:val="9"/>
    <w:qFormat/>
    <w:rsid w:val="00384521"/>
    <w:pPr>
      <w:numPr>
        <w:numId w:val="3"/>
      </w:numPr>
      <w:ind w:left="1080"/>
      <w:jc w:val="both"/>
      <w:outlineLvl w:val="0"/>
    </w:pPr>
    <w:rPr>
      <w:rFonts w:ascii="Calibri" w:eastAsia="Times New Roman" w:hAnsi="Calibri"/>
      <w:b/>
      <w:color w:val="15559F"/>
      <w:sz w:val="28"/>
    </w:rPr>
  </w:style>
  <w:style w:type="paragraph" w:styleId="Titre2">
    <w:name w:val="heading 2"/>
    <w:aliases w:val="Sous titre"/>
    <w:basedOn w:val="Normal"/>
    <w:next w:val="Normal"/>
    <w:link w:val="Titre2Car"/>
    <w:autoRedefine/>
    <w:uiPriority w:val="9"/>
    <w:semiHidden/>
    <w:unhideWhenUsed/>
    <w:qFormat/>
    <w:rsid w:val="00384521"/>
    <w:pPr>
      <w:tabs>
        <w:tab w:val="num" w:pos="720"/>
      </w:tabs>
      <w:ind w:left="720" w:hanging="360"/>
      <w:jc w:val="both"/>
      <w:outlineLvl w:val="1"/>
    </w:pPr>
    <w:rPr>
      <w:rFonts w:ascii="Calibri" w:eastAsia="Times New Roman" w:hAnsi="Calibri"/>
      <w:b/>
      <w:color w:val="71ABBA"/>
    </w:rPr>
  </w:style>
  <w:style w:type="paragraph" w:styleId="Titre3">
    <w:name w:val="heading 3"/>
    <w:basedOn w:val="Normal"/>
    <w:next w:val="Normal"/>
    <w:link w:val="Titre3Car"/>
    <w:uiPriority w:val="9"/>
    <w:semiHidden/>
    <w:unhideWhenUsed/>
    <w:qFormat/>
    <w:rsid w:val="00025CFD"/>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semiHidden/>
    <w:unhideWhenUsed/>
    <w:qFormat/>
    <w:rsid w:val="00025CFD"/>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025CFD"/>
    <w:pPr>
      <w:spacing w:before="240" w:after="60"/>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025CFD"/>
    <w:pPr>
      <w:spacing w:before="240" w:after="60"/>
      <w:outlineLvl w:val="5"/>
    </w:pPr>
    <w:rPr>
      <w:rFonts w:ascii="Calibri" w:eastAsia="Times New Roman" w:hAnsi="Calibri"/>
      <w:b/>
      <w:bCs/>
      <w:sz w:val="22"/>
      <w:szCs w:val="22"/>
    </w:rPr>
  </w:style>
  <w:style w:type="paragraph" w:styleId="Titre7">
    <w:name w:val="heading 7"/>
    <w:basedOn w:val="Normal"/>
    <w:next w:val="Normal"/>
    <w:link w:val="Titre7Car"/>
    <w:uiPriority w:val="9"/>
    <w:semiHidden/>
    <w:unhideWhenUsed/>
    <w:qFormat/>
    <w:rsid w:val="00025CFD"/>
    <w:pPr>
      <w:spacing w:before="240" w:after="60"/>
      <w:outlineLvl w:val="6"/>
    </w:pPr>
    <w:rPr>
      <w:rFonts w:ascii="Calibri" w:eastAsia="Times New Roman" w:hAnsi="Calibri"/>
    </w:rPr>
  </w:style>
  <w:style w:type="paragraph" w:styleId="Titre8">
    <w:name w:val="heading 8"/>
    <w:basedOn w:val="Normal"/>
    <w:next w:val="Normal"/>
    <w:link w:val="Titre8Car"/>
    <w:uiPriority w:val="9"/>
    <w:semiHidden/>
    <w:unhideWhenUsed/>
    <w:qFormat/>
    <w:rsid w:val="00025CFD"/>
    <w:pPr>
      <w:spacing w:before="240" w:after="60"/>
      <w:outlineLvl w:val="7"/>
    </w:pPr>
    <w:rPr>
      <w:rFonts w:ascii="Calibri" w:eastAsia="Times New Roman" w:hAnsi="Calibri"/>
      <w:i/>
      <w:iCs/>
    </w:rPr>
  </w:style>
  <w:style w:type="paragraph" w:styleId="Titre9">
    <w:name w:val="heading 9"/>
    <w:basedOn w:val="Normal"/>
    <w:next w:val="Normal"/>
    <w:link w:val="Titre9Car"/>
    <w:uiPriority w:val="9"/>
    <w:semiHidden/>
    <w:unhideWhenUsed/>
    <w:qFormat/>
    <w:rsid w:val="00025CFD"/>
    <w:pPr>
      <w:spacing w:before="240" w:after="60"/>
      <w:outlineLvl w:val="8"/>
    </w:pPr>
    <w:rPr>
      <w:rFonts w:ascii="Calibri Light" w:eastAsia="Times New Roman"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84521"/>
    <w:rPr>
      <w:rFonts w:eastAsia="Times New Roman"/>
      <w:b/>
      <w:color w:val="15559F"/>
      <w:sz w:val="28"/>
      <w:szCs w:val="24"/>
    </w:rPr>
  </w:style>
  <w:style w:type="character" w:customStyle="1" w:styleId="Titre2Car">
    <w:name w:val="Titre 2 Car"/>
    <w:aliases w:val="Sous titre Car"/>
    <w:link w:val="Titre2"/>
    <w:uiPriority w:val="9"/>
    <w:semiHidden/>
    <w:rsid w:val="00384521"/>
    <w:rPr>
      <w:rFonts w:eastAsia="Times New Roman"/>
      <w:b/>
      <w:color w:val="71ABBA"/>
      <w:sz w:val="24"/>
      <w:szCs w:val="24"/>
    </w:rPr>
  </w:style>
  <w:style w:type="character" w:customStyle="1" w:styleId="Titre3Car">
    <w:name w:val="Titre 3 Car"/>
    <w:link w:val="Titre3"/>
    <w:uiPriority w:val="9"/>
    <w:semiHidden/>
    <w:rsid w:val="00025CFD"/>
    <w:rPr>
      <w:rFonts w:ascii="Calibri Light" w:eastAsia="Times New Roman" w:hAnsi="Calibri Light" w:cs="Times New Roman"/>
      <w:b/>
      <w:bCs/>
      <w:sz w:val="26"/>
      <w:szCs w:val="26"/>
    </w:rPr>
  </w:style>
  <w:style w:type="character" w:customStyle="1" w:styleId="Titre4Car">
    <w:name w:val="Titre 4 Car"/>
    <w:link w:val="Titre4"/>
    <w:uiPriority w:val="9"/>
    <w:semiHidden/>
    <w:rsid w:val="00025CFD"/>
    <w:rPr>
      <w:rFonts w:ascii="Calibri" w:eastAsia="Times New Roman" w:hAnsi="Calibri" w:cs="Times New Roman"/>
      <w:b/>
      <w:bCs/>
      <w:sz w:val="28"/>
      <w:szCs w:val="28"/>
    </w:rPr>
  </w:style>
  <w:style w:type="character" w:customStyle="1" w:styleId="Titre5Car">
    <w:name w:val="Titre 5 Car"/>
    <w:link w:val="Titre5"/>
    <w:uiPriority w:val="9"/>
    <w:semiHidden/>
    <w:rsid w:val="00025CFD"/>
    <w:rPr>
      <w:rFonts w:ascii="Calibri" w:eastAsia="Times New Roman" w:hAnsi="Calibri" w:cs="Times New Roman"/>
      <w:b/>
      <w:bCs/>
      <w:i/>
      <w:iCs/>
      <w:sz w:val="26"/>
      <w:szCs w:val="26"/>
    </w:rPr>
  </w:style>
  <w:style w:type="character" w:customStyle="1" w:styleId="Titre6Car">
    <w:name w:val="Titre 6 Car"/>
    <w:link w:val="Titre6"/>
    <w:uiPriority w:val="9"/>
    <w:semiHidden/>
    <w:rsid w:val="00025CFD"/>
    <w:rPr>
      <w:rFonts w:ascii="Calibri" w:eastAsia="Times New Roman" w:hAnsi="Calibri" w:cs="Times New Roman"/>
      <w:b/>
      <w:bCs/>
      <w:sz w:val="22"/>
      <w:szCs w:val="22"/>
    </w:rPr>
  </w:style>
  <w:style w:type="character" w:customStyle="1" w:styleId="Titre7Car">
    <w:name w:val="Titre 7 Car"/>
    <w:link w:val="Titre7"/>
    <w:uiPriority w:val="9"/>
    <w:semiHidden/>
    <w:rsid w:val="00025CFD"/>
    <w:rPr>
      <w:rFonts w:ascii="Calibri" w:eastAsia="Times New Roman" w:hAnsi="Calibri" w:cs="Times New Roman"/>
      <w:sz w:val="24"/>
      <w:szCs w:val="24"/>
    </w:rPr>
  </w:style>
  <w:style w:type="character" w:customStyle="1" w:styleId="Titre8Car">
    <w:name w:val="Titre 8 Car"/>
    <w:link w:val="Titre8"/>
    <w:uiPriority w:val="9"/>
    <w:semiHidden/>
    <w:rsid w:val="00025CFD"/>
    <w:rPr>
      <w:rFonts w:ascii="Calibri" w:eastAsia="Times New Roman" w:hAnsi="Calibri" w:cs="Times New Roman"/>
      <w:i/>
      <w:iCs/>
      <w:sz w:val="24"/>
      <w:szCs w:val="24"/>
    </w:rPr>
  </w:style>
  <w:style w:type="character" w:customStyle="1" w:styleId="Titre9Car">
    <w:name w:val="Titre 9 Car"/>
    <w:link w:val="Titre9"/>
    <w:uiPriority w:val="9"/>
    <w:semiHidden/>
    <w:rsid w:val="00025CFD"/>
    <w:rPr>
      <w:rFonts w:ascii="Calibri Light" w:eastAsia="Times New Roman" w:hAnsi="Calibri Light" w:cs="Times New Roman"/>
      <w:sz w:val="22"/>
      <w:szCs w:val="22"/>
    </w:rPr>
  </w:style>
  <w:style w:type="paragraph" w:styleId="Lgende">
    <w:name w:val="caption"/>
    <w:basedOn w:val="Normal"/>
    <w:next w:val="Normal"/>
    <w:uiPriority w:val="35"/>
    <w:semiHidden/>
    <w:unhideWhenUsed/>
    <w:qFormat/>
    <w:rsid w:val="00025CFD"/>
    <w:rPr>
      <w:b/>
      <w:bCs/>
      <w:sz w:val="20"/>
      <w:szCs w:val="20"/>
    </w:rPr>
  </w:style>
  <w:style w:type="paragraph" w:styleId="Titre">
    <w:name w:val="Title"/>
    <w:basedOn w:val="Normal"/>
    <w:next w:val="Normal"/>
    <w:link w:val="TitreCar"/>
    <w:uiPriority w:val="10"/>
    <w:rsid w:val="00025CFD"/>
    <w:pPr>
      <w:spacing w:before="240" w:after="60"/>
      <w:jc w:val="center"/>
      <w:outlineLvl w:val="0"/>
    </w:pPr>
    <w:rPr>
      <w:rFonts w:ascii="Calibri Light" w:eastAsia="Times New Roman" w:hAnsi="Calibri Light"/>
      <w:b/>
      <w:bCs/>
      <w:kern w:val="28"/>
      <w:sz w:val="32"/>
      <w:szCs w:val="32"/>
    </w:rPr>
  </w:style>
  <w:style w:type="character" w:customStyle="1" w:styleId="TitreCar">
    <w:name w:val="Titre Car"/>
    <w:link w:val="Titre"/>
    <w:uiPriority w:val="10"/>
    <w:rsid w:val="00025CFD"/>
    <w:rPr>
      <w:rFonts w:ascii="Calibri Light" w:eastAsia="Times New Roman" w:hAnsi="Calibri Light" w:cs="Times New Roman"/>
      <w:b/>
      <w:bCs/>
      <w:kern w:val="28"/>
      <w:sz w:val="32"/>
      <w:szCs w:val="32"/>
    </w:rPr>
  </w:style>
  <w:style w:type="paragraph" w:styleId="Sous-titre">
    <w:name w:val="Subtitle"/>
    <w:basedOn w:val="Normal"/>
    <w:next w:val="Normal"/>
    <w:link w:val="Sous-titreCar"/>
    <w:uiPriority w:val="11"/>
    <w:rsid w:val="00025CFD"/>
    <w:pPr>
      <w:spacing w:after="60"/>
      <w:jc w:val="center"/>
      <w:outlineLvl w:val="1"/>
    </w:pPr>
    <w:rPr>
      <w:rFonts w:ascii="Calibri Light" w:eastAsia="Times New Roman" w:hAnsi="Calibri Light"/>
    </w:rPr>
  </w:style>
  <w:style w:type="character" w:customStyle="1" w:styleId="Sous-titreCar">
    <w:name w:val="Sous-titre Car"/>
    <w:link w:val="Sous-titre"/>
    <w:uiPriority w:val="11"/>
    <w:rsid w:val="00025CFD"/>
    <w:rPr>
      <w:rFonts w:ascii="Calibri Light" w:eastAsia="Times New Roman" w:hAnsi="Calibri Light" w:cs="Times New Roman"/>
      <w:sz w:val="24"/>
      <w:szCs w:val="24"/>
    </w:rPr>
  </w:style>
  <w:style w:type="character" w:styleId="lev">
    <w:name w:val="Strong"/>
    <w:uiPriority w:val="22"/>
    <w:rsid w:val="00025CFD"/>
    <w:rPr>
      <w:b/>
      <w:bCs/>
    </w:rPr>
  </w:style>
  <w:style w:type="character" w:styleId="Accentuation">
    <w:name w:val="Emphasis"/>
    <w:uiPriority w:val="20"/>
    <w:qFormat/>
    <w:rsid w:val="00025CFD"/>
    <w:rPr>
      <w:i/>
      <w:iCs/>
    </w:rPr>
  </w:style>
  <w:style w:type="paragraph" w:styleId="Sansinterligne">
    <w:name w:val="No Spacing"/>
    <w:uiPriority w:val="1"/>
    <w:rsid w:val="00025CFD"/>
    <w:rPr>
      <w:rFonts w:ascii="Garamond" w:hAnsi="Garamond"/>
      <w:sz w:val="24"/>
      <w:szCs w:val="24"/>
    </w:rPr>
  </w:style>
  <w:style w:type="paragraph" w:styleId="Paragraphedeliste">
    <w:name w:val="List Paragraph"/>
    <w:basedOn w:val="Normal"/>
    <w:uiPriority w:val="34"/>
    <w:rsid w:val="00025CFD"/>
    <w:pPr>
      <w:ind w:left="708"/>
    </w:pPr>
  </w:style>
  <w:style w:type="paragraph" w:styleId="Citation">
    <w:name w:val="Quote"/>
    <w:basedOn w:val="Normal"/>
    <w:next w:val="Normal"/>
    <w:link w:val="CitationCar"/>
    <w:uiPriority w:val="29"/>
    <w:rsid w:val="00025CFD"/>
    <w:pPr>
      <w:spacing w:before="200" w:after="160"/>
      <w:ind w:left="864" w:right="864"/>
      <w:jc w:val="center"/>
    </w:pPr>
    <w:rPr>
      <w:i/>
      <w:iCs/>
      <w:color w:val="404040"/>
    </w:rPr>
  </w:style>
  <w:style w:type="character" w:customStyle="1" w:styleId="CitationCar">
    <w:name w:val="Citation Car"/>
    <w:link w:val="Citation"/>
    <w:uiPriority w:val="29"/>
    <w:rsid w:val="00025CFD"/>
    <w:rPr>
      <w:rFonts w:ascii="Garamond" w:hAnsi="Garamond"/>
      <w:i/>
      <w:iCs/>
      <w:color w:val="404040"/>
      <w:sz w:val="24"/>
      <w:szCs w:val="24"/>
    </w:rPr>
  </w:style>
  <w:style w:type="paragraph" w:styleId="Citationintense">
    <w:name w:val="Intense Quote"/>
    <w:basedOn w:val="Normal"/>
    <w:next w:val="Normal"/>
    <w:link w:val="CitationintenseCar"/>
    <w:uiPriority w:val="30"/>
    <w:rsid w:val="00025CF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itationintenseCar">
    <w:name w:val="Citation intense Car"/>
    <w:link w:val="Citationintense"/>
    <w:uiPriority w:val="30"/>
    <w:rsid w:val="00025CFD"/>
    <w:rPr>
      <w:rFonts w:ascii="Garamond" w:eastAsia="SimSun" w:hAnsi="Garamond"/>
      <w:i/>
      <w:iCs/>
      <w:color w:val="5B9BD5"/>
      <w:sz w:val="24"/>
      <w:szCs w:val="24"/>
    </w:rPr>
  </w:style>
  <w:style w:type="character" w:styleId="Emphaseple">
    <w:name w:val="Subtle Emphasis"/>
    <w:uiPriority w:val="19"/>
    <w:rsid w:val="00025CFD"/>
    <w:rPr>
      <w:i/>
      <w:iCs/>
      <w:color w:val="404040"/>
    </w:rPr>
  </w:style>
  <w:style w:type="character" w:styleId="Emphaseintense">
    <w:name w:val="Intense Emphasis"/>
    <w:uiPriority w:val="21"/>
    <w:rsid w:val="00025CFD"/>
    <w:rPr>
      <w:i/>
      <w:iCs/>
      <w:color w:val="5B9BD5"/>
    </w:rPr>
  </w:style>
  <w:style w:type="character" w:styleId="Rfrenceple">
    <w:name w:val="Subtle Reference"/>
    <w:uiPriority w:val="31"/>
    <w:rsid w:val="00025CFD"/>
    <w:rPr>
      <w:smallCaps/>
      <w:color w:val="5A5A5A"/>
    </w:rPr>
  </w:style>
  <w:style w:type="character" w:styleId="Rfrenceintense">
    <w:name w:val="Intense Reference"/>
    <w:uiPriority w:val="32"/>
    <w:rsid w:val="00025CFD"/>
    <w:rPr>
      <w:b/>
      <w:bCs/>
      <w:smallCaps/>
      <w:color w:val="5B9BD5"/>
      <w:spacing w:val="5"/>
    </w:rPr>
  </w:style>
  <w:style w:type="character" w:styleId="Titredulivre">
    <w:name w:val="Book Title"/>
    <w:uiPriority w:val="33"/>
    <w:rsid w:val="00025CFD"/>
    <w:rPr>
      <w:b/>
      <w:bCs/>
      <w:i/>
      <w:iCs/>
      <w:spacing w:val="5"/>
    </w:rPr>
  </w:style>
  <w:style w:type="paragraph" w:styleId="En-ttedetabledesmatires">
    <w:name w:val="TOC Heading"/>
    <w:basedOn w:val="Titre1"/>
    <w:next w:val="Normal"/>
    <w:uiPriority w:val="39"/>
    <w:semiHidden/>
    <w:unhideWhenUsed/>
    <w:qFormat/>
    <w:rsid w:val="00025CFD"/>
    <w:pPr>
      <w:keepNext/>
      <w:numPr>
        <w:numId w:val="0"/>
      </w:numPr>
      <w:spacing w:before="240" w:after="60"/>
      <w:jc w:val="left"/>
      <w:outlineLvl w:val="9"/>
    </w:pPr>
    <w:rPr>
      <w:rFonts w:ascii="Calibri Light" w:hAnsi="Calibri Light"/>
      <w:b w:val="0"/>
      <w:bCs/>
      <w:kern w:val="32"/>
      <w:sz w:val="32"/>
      <w:szCs w:val="32"/>
    </w:rPr>
  </w:style>
  <w:style w:type="paragraph" w:customStyle="1" w:styleId="PolicebleueCDG34">
    <w:name w:val="Police bleue CDG 34"/>
    <w:basedOn w:val="Normal"/>
    <w:link w:val="PolicebleueCDG34Car"/>
    <w:autoRedefine/>
    <w:qFormat/>
    <w:rsid w:val="00760593"/>
    <w:rPr>
      <w:color w:val="15559F"/>
    </w:rPr>
  </w:style>
  <w:style w:type="paragraph" w:customStyle="1" w:styleId="Policevert-bleuCDG34">
    <w:name w:val="Police vert-bleu CDG 34"/>
    <w:basedOn w:val="Normal"/>
    <w:link w:val="Policevert-bleuCDG34Car"/>
    <w:autoRedefine/>
    <w:qFormat/>
    <w:rsid w:val="00760593"/>
    <w:rPr>
      <w:color w:val="71ABBA"/>
    </w:rPr>
  </w:style>
  <w:style w:type="character" w:customStyle="1" w:styleId="PolicebleueCDG34Car">
    <w:name w:val="Police bleue CDG 34 Car"/>
    <w:basedOn w:val="Policepardfaut"/>
    <w:link w:val="PolicebleueCDG34"/>
    <w:rsid w:val="00760593"/>
    <w:rPr>
      <w:rFonts w:asciiTheme="minorHAnsi" w:hAnsiTheme="minorHAnsi"/>
      <w:color w:val="15559F"/>
      <w:sz w:val="24"/>
      <w:szCs w:val="24"/>
    </w:rPr>
  </w:style>
  <w:style w:type="paragraph" w:customStyle="1" w:styleId="PoliceOrangeCDG34">
    <w:name w:val="Police Orange CDG 34"/>
    <w:basedOn w:val="Normal"/>
    <w:link w:val="PoliceOrangeCDG34Car"/>
    <w:autoRedefine/>
    <w:qFormat/>
    <w:rsid w:val="00760593"/>
    <w:rPr>
      <w:color w:val="F2B200"/>
    </w:rPr>
  </w:style>
  <w:style w:type="character" w:customStyle="1" w:styleId="Policevert-bleuCDG34Car">
    <w:name w:val="Police vert-bleu CDG 34 Car"/>
    <w:basedOn w:val="Policepardfaut"/>
    <w:link w:val="Policevert-bleuCDG34"/>
    <w:rsid w:val="00760593"/>
    <w:rPr>
      <w:rFonts w:asciiTheme="minorHAnsi" w:hAnsiTheme="minorHAnsi"/>
      <w:color w:val="71ABBA"/>
      <w:sz w:val="24"/>
      <w:szCs w:val="24"/>
    </w:rPr>
  </w:style>
  <w:style w:type="paragraph" w:customStyle="1" w:styleId="Fondbleu-vertetpoliceblanche">
    <w:name w:val="Fond bleu-vert et police blanche"/>
    <w:basedOn w:val="PoliceOrangeCDG34"/>
    <w:link w:val="Fondbleu-vertetpoliceblancheCar"/>
    <w:autoRedefine/>
    <w:qFormat/>
    <w:rsid w:val="00EE3E70"/>
    <w:pPr>
      <w:shd w:val="clear" w:color="auto" w:fill="71ABBA"/>
    </w:pPr>
    <w:rPr>
      <w:b/>
      <w:color w:val="FFFFFF" w:themeColor="background1"/>
    </w:rPr>
  </w:style>
  <w:style w:type="character" w:customStyle="1" w:styleId="PoliceOrangeCDG34Car">
    <w:name w:val="Police Orange CDG 34 Car"/>
    <w:basedOn w:val="Policepardfaut"/>
    <w:link w:val="PoliceOrangeCDG34"/>
    <w:rsid w:val="00760593"/>
    <w:rPr>
      <w:rFonts w:asciiTheme="minorHAnsi" w:hAnsiTheme="minorHAnsi"/>
      <w:color w:val="F2B200"/>
      <w:sz w:val="24"/>
      <w:szCs w:val="24"/>
    </w:rPr>
  </w:style>
  <w:style w:type="paragraph" w:customStyle="1" w:styleId="PucesCDG34">
    <w:name w:val="Puces CDG 34"/>
    <w:basedOn w:val="Normal"/>
    <w:link w:val="PucesCDG34Car"/>
    <w:autoRedefine/>
    <w:qFormat/>
    <w:rsid w:val="00130ACE"/>
    <w:pPr>
      <w:numPr>
        <w:numId w:val="5"/>
      </w:numPr>
      <w:ind w:left="142"/>
    </w:pPr>
    <w:rPr>
      <w:rFonts w:cstheme="minorHAnsi"/>
      <w:b/>
      <w:u w:val="single"/>
    </w:rPr>
  </w:style>
  <w:style w:type="character" w:customStyle="1" w:styleId="Fondbleu-vertetpoliceblancheCar">
    <w:name w:val="Fond bleu-vert et police blanche Car"/>
    <w:basedOn w:val="PoliceOrangeCDG34Car"/>
    <w:link w:val="Fondbleu-vertetpoliceblanche"/>
    <w:rsid w:val="00EE3E70"/>
    <w:rPr>
      <w:rFonts w:asciiTheme="minorHAnsi" w:hAnsiTheme="minorHAnsi"/>
      <w:b/>
      <w:color w:val="FFFFFF" w:themeColor="background1"/>
      <w:sz w:val="24"/>
      <w:szCs w:val="24"/>
      <w:shd w:val="clear" w:color="auto" w:fill="71ABBA"/>
    </w:rPr>
  </w:style>
  <w:style w:type="character" w:customStyle="1" w:styleId="PucesCDG34Car">
    <w:name w:val="Puces CDG 34 Car"/>
    <w:basedOn w:val="Policepardfaut"/>
    <w:link w:val="PucesCDG34"/>
    <w:rsid w:val="00130ACE"/>
    <w:rPr>
      <w:rFonts w:asciiTheme="minorHAnsi" w:hAnsiTheme="minorHAnsi" w:cstheme="minorHAnsi"/>
      <w:b/>
      <w:sz w:val="24"/>
      <w:szCs w:val="24"/>
      <w:u w:val="single"/>
    </w:rPr>
  </w:style>
  <w:style w:type="character" w:customStyle="1" w:styleId="fontstyle01">
    <w:name w:val="fontstyle01"/>
    <w:basedOn w:val="Policepardfaut"/>
    <w:rsid w:val="009630D1"/>
    <w:rPr>
      <w:rFonts w:ascii="DroidSerif" w:hAnsi="DroidSerif" w:hint="default"/>
      <w:b w:val="0"/>
      <w:bCs w:val="0"/>
      <w:i w:val="0"/>
      <w:iCs w:val="0"/>
      <w:color w:val="000000"/>
      <w:sz w:val="18"/>
      <w:szCs w:val="18"/>
    </w:rPr>
  </w:style>
  <w:style w:type="paragraph" w:styleId="Textedebulles">
    <w:name w:val="Balloon Text"/>
    <w:basedOn w:val="Normal"/>
    <w:link w:val="TextedebullesCar"/>
    <w:uiPriority w:val="99"/>
    <w:semiHidden/>
    <w:unhideWhenUsed/>
    <w:rsid w:val="00D43B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3B32"/>
    <w:rPr>
      <w:rFonts w:ascii="Segoe UI" w:hAnsi="Segoe UI" w:cs="Segoe UI"/>
      <w:sz w:val="18"/>
      <w:szCs w:val="18"/>
    </w:rPr>
  </w:style>
  <w:style w:type="paragraph" w:styleId="Textebrut">
    <w:name w:val="Plain Text"/>
    <w:basedOn w:val="Normal"/>
    <w:link w:val="TextebrutCar"/>
    <w:uiPriority w:val="99"/>
    <w:semiHidden/>
    <w:unhideWhenUsed/>
    <w:rsid w:val="00504F34"/>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504F34"/>
    <w:rPr>
      <w:rFonts w:eastAsiaTheme="minorHAnsi" w:cstheme="minorBidi"/>
      <w:sz w:val="22"/>
      <w:szCs w:val="21"/>
      <w:lang w:eastAsia="en-US"/>
    </w:rPr>
  </w:style>
  <w:style w:type="character" w:customStyle="1" w:styleId="fontstyle21">
    <w:name w:val="fontstyle21"/>
    <w:basedOn w:val="Policepardfaut"/>
    <w:rsid w:val="00CC6A9D"/>
    <w:rPr>
      <w:rFonts w:ascii="Calibri" w:hAnsi="Calibri" w:cs="Calibri" w:hint="default"/>
      <w:b w:val="0"/>
      <w:bCs w:val="0"/>
      <w:i w:val="0"/>
      <w:iCs w:val="0"/>
      <w:color w:val="000000"/>
    </w:rPr>
  </w:style>
  <w:style w:type="character" w:customStyle="1" w:styleId="fontstyle31">
    <w:name w:val="fontstyle31"/>
    <w:basedOn w:val="Policepardfaut"/>
    <w:rsid w:val="00CC6A9D"/>
    <w:rPr>
      <w:rFonts w:ascii="Calibri-Italic" w:hAnsi="Calibri-Italic" w:hint="default"/>
      <w:b w:val="0"/>
      <w:bCs w:val="0"/>
      <w:i/>
      <w:iCs/>
      <w:color w:val="000000"/>
    </w:rPr>
  </w:style>
  <w:style w:type="paragraph" w:styleId="NormalWeb">
    <w:name w:val="Normal (Web)"/>
    <w:basedOn w:val="Normal"/>
    <w:uiPriority w:val="99"/>
    <w:unhideWhenUsed/>
    <w:rsid w:val="00BC2313"/>
    <w:pPr>
      <w:spacing w:before="100" w:beforeAutospacing="1" w:after="100" w:afterAutospacing="1"/>
    </w:pPr>
    <w:rPr>
      <w:rFonts w:ascii="Times New Roman" w:eastAsia="Times New Roman" w:hAnsi="Times New Roman"/>
    </w:rPr>
  </w:style>
  <w:style w:type="paragraph" w:styleId="En-tte">
    <w:name w:val="header"/>
    <w:basedOn w:val="Normal"/>
    <w:link w:val="En-tteCar"/>
    <w:uiPriority w:val="99"/>
    <w:unhideWhenUsed/>
    <w:rsid w:val="00420E31"/>
    <w:pPr>
      <w:tabs>
        <w:tab w:val="center" w:pos="4536"/>
        <w:tab w:val="right" w:pos="9072"/>
      </w:tabs>
    </w:pPr>
  </w:style>
  <w:style w:type="character" w:customStyle="1" w:styleId="En-tteCar">
    <w:name w:val="En-tête Car"/>
    <w:basedOn w:val="Policepardfaut"/>
    <w:link w:val="En-tte"/>
    <w:uiPriority w:val="99"/>
    <w:rsid w:val="00420E31"/>
    <w:rPr>
      <w:rFonts w:asciiTheme="minorHAnsi" w:hAnsiTheme="minorHAnsi"/>
      <w:sz w:val="24"/>
      <w:szCs w:val="24"/>
    </w:rPr>
  </w:style>
  <w:style w:type="paragraph" w:styleId="Pieddepage">
    <w:name w:val="footer"/>
    <w:basedOn w:val="Normal"/>
    <w:link w:val="PieddepageCar"/>
    <w:uiPriority w:val="99"/>
    <w:unhideWhenUsed/>
    <w:rsid w:val="00420E31"/>
    <w:pPr>
      <w:tabs>
        <w:tab w:val="center" w:pos="4536"/>
        <w:tab w:val="right" w:pos="9072"/>
      </w:tabs>
    </w:pPr>
  </w:style>
  <w:style w:type="character" w:customStyle="1" w:styleId="PieddepageCar">
    <w:name w:val="Pied de page Car"/>
    <w:basedOn w:val="Policepardfaut"/>
    <w:link w:val="Pieddepage"/>
    <w:uiPriority w:val="99"/>
    <w:rsid w:val="00420E31"/>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163385">
      <w:bodyDiv w:val="1"/>
      <w:marLeft w:val="0"/>
      <w:marRight w:val="0"/>
      <w:marTop w:val="0"/>
      <w:marBottom w:val="0"/>
      <w:divBdr>
        <w:top w:val="none" w:sz="0" w:space="0" w:color="auto"/>
        <w:left w:val="none" w:sz="0" w:space="0" w:color="auto"/>
        <w:bottom w:val="none" w:sz="0" w:space="0" w:color="auto"/>
        <w:right w:val="none" w:sz="0" w:space="0" w:color="auto"/>
      </w:divBdr>
    </w:div>
    <w:div w:id="1218517797">
      <w:bodyDiv w:val="1"/>
      <w:marLeft w:val="0"/>
      <w:marRight w:val="0"/>
      <w:marTop w:val="0"/>
      <w:marBottom w:val="0"/>
      <w:divBdr>
        <w:top w:val="none" w:sz="0" w:space="0" w:color="auto"/>
        <w:left w:val="none" w:sz="0" w:space="0" w:color="auto"/>
        <w:bottom w:val="none" w:sz="0" w:space="0" w:color="auto"/>
        <w:right w:val="none" w:sz="0" w:space="0" w:color="auto"/>
      </w:divBdr>
    </w:div>
    <w:div w:id="1882935440">
      <w:bodyDiv w:val="1"/>
      <w:marLeft w:val="0"/>
      <w:marRight w:val="0"/>
      <w:marTop w:val="0"/>
      <w:marBottom w:val="0"/>
      <w:divBdr>
        <w:top w:val="none" w:sz="0" w:space="0" w:color="auto"/>
        <w:left w:val="none" w:sz="0" w:space="0" w:color="auto"/>
        <w:bottom w:val="none" w:sz="0" w:space="0" w:color="auto"/>
        <w:right w:val="none" w:sz="0" w:space="0" w:color="auto"/>
      </w:divBdr>
      <w:divsChild>
        <w:div w:id="1562868858">
          <w:marLeft w:val="0"/>
          <w:marRight w:val="0"/>
          <w:marTop w:val="0"/>
          <w:marBottom w:val="0"/>
          <w:divBdr>
            <w:top w:val="none" w:sz="0" w:space="0" w:color="auto"/>
            <w:left w:val="none" w:sz="0" w:space="0" w:color="auto"/>
            <w:bottom w:val="none" w:sz="0" w:space="0" w:color="auto"/>
            <w:right w:val="none" w:sz="0" w:space="0" w:color="auto"/>
          </w:divBdr>
          <w:divsChild>
            <w:div w:id="1697924644">
              <w:marLeft w:val="0"/>
              <w:marRight w:val="0"/>
              <w:marTop w:val="0"/>
              <w:marBottom w:val="0"/>
              <w:divBdr>
                <w:top w:val="none" w:sz="0" w:space="0" w:color="auto"/>
                <w:left w:val="none" w:sz="0" w:space="0" w:color="auto"/>
                <w:bottom w:val="none" w:sz="0" w:space="0" w:color="auto"/>
                <w:right w:val="none" w:sz="0" w:space="0" w:color="auto"/>
              </w:divBdr>
              <w:divsChild>
                <w:div w:id="576525006">
                  <w:marLeft w:val="0"/>
                  <w:marRight w:val="0"/>
                  <w:marTop w:val="0"/>
                  <w:marBottom w:val="0"/>
                  <w:divBdr>
                    <w:top w:val="none" w:sz="0" w:space="0" w:color="auto"/>
                    <w:left w:val="none" w:sz="0" w:space="0" w:color="auto"/>
                    <w:bottom w:val="none" w:sz="0" w:space="0" w:color="auto"/>
                    <w:right w:val="none" w:sz="0" w:space="0" w:color="auto"/>
                  </w:divBdr>
                  <w:divsChild>
                    <w:div w:id="854153370">
                      <w:marLeft w:val="0"/>
                      <w:marRight w:val="0"/>
                      <w:marTop w:val="0"/>
                      <w:marBottom w:val="0"/>
                      <w:divBdr>
                        <w:top w:val="none" w:sz="0" w:space="0" w:color="auto"/>
                        <w:left w:val="none" w:sz="0" w:space="0" w:color="auto"/>
                        <w:bottom w:val="none" w:sz="0" w:space="0" w:color="auto"/>
                        <w:right w:val="none" w:sz="0" w:space="0" w:color="auto"/>
                      </w:divBdr>
                      <w:divsChild>
                        <w:div w:id="1471510741">
                          <w:marLeft w:val="0"/>
                          <w:marRight w:val="0"/>
                          <w:marTop w:val="0"/>
                          <w:marBottom w:val="0"/>
                          <w:divBdr>
                            <w:top w:val="none" w:sz="0" w:space="0" w:color="auto"/>
                            <w:left w:val="none" w:sz="0" w:space="0" w:color="auto"/>
                            <w:bottom w:val="none" w:sz="0" w:space="0" w:color="auto"/>
                            <w:right w:val="none" w:sz="0" w:space="0" w:color="auto"/>
                          </w:divBdr>
                          <w:divsChild>
                            <w:div w:id="296180761">
                              <w:marLeft w:val="0"/>
                              <w:marRight w:val="0"/>
                              <w:marTop w:val="0"/>
                              <w:marBottom w:val="0"/>
                              <w:divBdr>
                                <w:top w:val="none" w:sz="0" w:space="0" w:color="auto"/>
                                <w:left w:val="none" w:sz="0" w:space="0" w:color="auto"/>
                                <w:bottom w:val="none" w:sz="0" w:space="0" w:color="auto"/>
                                <w:right w:val="none" w:sz="0" w:space="0" w:color="auto"/>
                              </w:divBdr>
                              <w:divsChild>
                                <w:div w:id="1539465433">
                                  <w:marLeft w:val="0"/>
                                  <w:marRight w:val="0"/>
                                  <w:marTop w:val="0"/>
                                  <w:marBottom w:val="0"/>
                                  <w:divBdr>
                                    <w:top w:val="none" w:sz="0" w:space="0" w:color="auto"/>
                                    <w:left w:val="none" w:sz="0" w:space="0" w:color="auto"/>
                                    <w:bottom w:val="none" w:sz="0" w:space="0" w:color="auto"/>
                                    <w:right w:val="none" w:sz="0" w:space="0" w:color="auto"/>
                                  </w:divBdr>
                                  <w:divsChild>
                                    <w:div w:id="890307166">
                                      <w:marLeft w:val="0"/>
                                      <w:marRight w:val="0"/>
                                      <w:marTop w:val="0"/>
                                      <w:marBottom w:val="0"/>
                                      <w:divBdr>
                                        <w:top w:val="none" w:sz="0" w:space="0" w:color="auto"/>
                                        <w:left w:val="none" w:sz="0" w:space="0" w:color="auto"/>
                                        <w:bottom w:val="none" w:sz="0" w:space="0" w:color="auto"/>
                                        <w:right w:val="none" w:sz="0" w:space="0" w:color="auto"/>
                                      </w:divBdr>
                                      <w:divsChild>
                                        <w:div w:id="838272398">
                                          <w:marLeft w:val="0"/>
                                          <w:marRight w:val="0"/>
                                          <w:marTop w:val="0"/>
                                          <w:marBottom w:val="0"/>
                                          <w:divBdr>
                                            <w:top w:val="none" w:sz="0" w:space="0" w:color="auto"/>
                                            <w:left w:val="none" w:sz="0" w:space="0" w:color="auto"/>
                                            <w:bottom w:val="none" w:sz="0" w:space="0" w:color="auto"/>
                                            <w:right w:val="none" w:sz="0" w:space="0" w:color="auto"/>
                                          </w:divBdr>
                                          <w:divsChild>
                                            <w:div w:id="1055935301">
                                              <w:marLeft w:val="0"/>
                                              <w:marRight w:val="0"/>
                                              <w:marTop w:val="0"/>
                                              <w:marBottom w:val="0"/>
                                              <w:divBdr>
                                                <w:top w:val="none" w:sz="0" w:space="0" w:color="auto"/>
                                                <w:left w:val="none" w:sz="0" w:space="0" w:color="auto"/>
                                                <w:bottom w:val="none" w:sz="0" w:space="0" w:color="auto"/>
                                                <w:right w:val="none" w:sz="0" w:space="0" w:color="auto"/>
                                              </w:divBdr>
                                              <w:divsChild>
                                                <w:div w:id="1737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gversailles.fr/print/246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34">
      <a:dk1>
        <a:sysClr val="windowText" lastClr="000000"/>
      </a:dk1>
      <a:lt1>
        <a:sysClr val="window" lastClr="FFFFFF"/>
      </a:lt1>
      <a:dk2>
        <a:srgbClr val="44546A"/>
      </a:dk2>
      <a:lt2>
        <a:srgbClr val="E7E6E6"/>
      </a:lt2>
      <a:accent1>
        <a:srgbClr val="15559F"/>
      </a:accent1>
      <a:accent2>
        <a:srgbClr val="71ABBA"/>
      </a:accent2>
      <a:accent3>
        <a:srgbClr val="F2B200"/>
      </a:accent3>
      <a:accent4>
        <a:srgbClr val="00B050"/>
      </a:accent4>
      <a:accent5>
        <a:srgbClr val="7030A0"/>
      </a:accent5>
      <a:accent6>
        <a:srgbClr val="0563C1"/>
      </a:accent6>
      <a:hlink>
        <a:srgbClr val="15559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1C06-D61A-4B9B-BF6F-76133294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1913</Words>
  <Characters>10522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CDG 34</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Vinatier</dc:creator>
  <cp:keywords/>
  <dc:description/>
  <cp:lastModifiedBy>M. Vinatier</cp:lastModifiedBy>
  <cp:revision>52</cp:revision>
  <cp:lastPrinted>2022-11-15T10:36:00Z</cp:lastPrinted>
  <dcterms:created xsi:type="dcterms:W3CDTF">2021-07-19T09:46:00Z</dcterms:created>
  <dcterms:modified xsi:type="dcterms:W3CDTF">2023-07-20T12:12:00Z</dcterms:modified>
</cp:coreProperties>
</file>